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A25D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 на промышленной площадке «Золотая долина»</w:t>
      </w:r>
      <w:r w:rsidR="00FA16E9">
        <w:rPr>
          <w:rFonts w:ascii="Times New Roman" w:hAnsi="Times New Roman" w:cs="Times New Roman"/>
          <w:b/>
          <w:sz w:val="28"/>
          <w:szCs w:val="28"/>
        </w:rPr>
        <w:t>, где указаны схема промышленной площадки, конкурентные преимущества</w:t>
      </w:r>
      <w:bookmarkStart w:id="0" w:name="_GoBack"/>
      <w:bookmarkEnd w:id="0"/>
      <w:r w:rsidR="00FA1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87" w:rsidRPr="00A25D87" w:rsidRDefault="009069EF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9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9813" cy="3007360"/>
            <wp:effectExtent l="0" t="0" r="0" b="2540"/>
            <wp:docPr id="2" name="Рисунок 2" descr="C:\Users\Секретарь\Desktop\ФОТОГРАФИИ ДЛЯ ОТЧЕТА\IMG-201808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673" cy="30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2A1F48"/>
    <w:rsid w:val="0068187C"/>
    <w:rsid w:val="009069EF"/>
    <w:rsid w:val="00A25D87"/>
    <w:rsid w:val="00BF205E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1B64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2018-08-17T05:57:00Z</dcterms:created>
  <dcterms:modified xsi:type="dcterms:W3CDTF">2018-08-17T06:02:00Z</dcterms:modified>
</cp:coreProperties>
</file>