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C7" w:rsidRDefault="00B260C7" w:rsidP="00B2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граждан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40380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260C7" w:rsidRPr="0040380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403807">
        <w:rPr>
          <w:rFonts w:ascii="Times New Roman" w:hAnsi="Times New Roman" w:cs="Times New Roman"/>
          <w:sz w:val="28"/>
          <w:szCs w:val="28"/>
        </w:rPr>
        <w:t xml:space="preserve"> 2019 года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Pr="00FC41E4">
        <w:rPr>
          <w:rFonts w:ascii="Times New Roman" w:hAnsi="Times New Roman" w:cs="Times New Roman"/>
          <w:sz w:val="28"/>
          <w:szCs w:val="28"/>
        </w:rPr>
        <w:t>11%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уровня предыдущего года (9 месяцев</w:t>
      </w:r>
      <w:r w:rsidRPr="0040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г.- 353), из них: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143 (45%);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на бумажных носителях – 55 (17%);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прием – 120 (38%).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F0C4C" wp14:editId="18779328">
            <wp:extent cx="5939481" cy="3270250"/>
            <wp:effectExtent l="0" t="0" r="444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B154A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54A">
        <w:rPr>
          <w:rFonts w:ascii="Times New Roman" w:hAnsi="Times New Roman" w:cs="Times New Roman"/>
          <w:sz w:val="28"/>
          <w:szCs w:val="28"/>
        </w:rPr>
        <w:t>Снизилось на 17% число обращений граждан, рассмотренных в ходе проведения личного приема (2019 – 120, 2018г.-148, 2017г.-148).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52D50" wp14:editId="64B83059">
            <wp:extent cx="5940425" cy="2687561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увеличение количества обращений (на 66%), поступивших посредством электронных средств связи.</w:t>
      </w: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23C1D1" wp14:editId="3BCF2F97">
            <wp:extent cx="5940425" cy="3307636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18455" wp14:editId="361E6781">
            <wp:extent cx="5824151" cy="3641090"/>
            <wp:effectExtent l="0" t="0" r="571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поступило </w:t>
      </w:r>
      <w:r w:rsidRPr="007B15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обращений, которые содержат </w:t>
      </w:r>
      <w:r w:rsidRPr="00AD0E7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подписей. В результате общее число граждан, обратившихся в Совет района составило </w:t>
      </w:r>
      <w:r w:rsidRPr="006D68CE">
        <w:rPr>
          <w:rFonts w:ascii="Times New Roman" w:hAnsi="Times New Roman" w:cs="Times New Roman"/>
          <w:sz w:val="28"/>
          <w:szCs w:val="28"/>
        </w:rPr>
        <w:t>476 человек (2018г.-494, 2017-763).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482"/>
        <w:gridCol w:w="1482"/>
        <w:gridCol w:w="1482"/>
      </w:tblGrid>
      <w:tr w:rsidR="00B260C7" w:rsidTr="00BE5A5D">
        <w:trPr>
          <w:jc w:val="center"/>
        </w:trPr>
        <w:tc>
          <w:tcPr>
            <w:tcW w:w="4248" w:type="dxa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мес.2019</w:t>
            </w:r>
          </w:p>
        </w:tc>
        <w:tc>
          <w:tcPr>
            <w:tcW w:w="0" w:type="auto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мес.2018</w:t>
            </w:r>
          </w:p>
        </w:tc>
        <w:tc>
          <w:tcPr>
            <w:tcW w:w="0" w:type="auto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мес.2017</w:t>
            </w:r>
          </w:p>
        </w:tc>
      </w:tr>
      <w:tr w:rsidR="00B260C7" w:rsidTr="00BE5A5D">
        <w:trPr>
          <w:jc w:val="center"/>
        </w:trPr>
        <w:tc>
          <w:tcPr>
            <w:tcW w:w="4248" w:type="dxa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B260C7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260C7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260C7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260C7" w:rsidTr="00BE5A5D">
        <w:trPr>
          <w:jc w:val="center"/>
        </w:trPr>
        <w:tc>
          <w:tcPr>
            <w:tcW w:w="4248" w:type="dxa"/>
          </w:tcPr>
          <w:p w:rsidR="00B260C7" w:rsidRDefault="00B260C7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B260C7" w:rsidRPr="006D68CE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C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B260C7" w:rsidRPr="006D68CE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C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B260C7" w:rsidRPr="006D68CE" w:rsidRDefault="00B260C7" w:rsidP="00BE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C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</w:tbl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поступило 4 обращения граждан на татарском языке (3 из них переадресовано из Аппарата Президента Республики Татарстан, 1 в адрес Главы), ответы даны в срок также на татарском языке.</w:t>
      </w:r>
    </w:p>
    <w:p w:rsidR="00FE4EDD" w:rsidRDefault="00FE4EDD" w:rsidP="00FE4E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(среди указавших свое социальное положение)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–25 (</w:t>
      </w:r>
      <w:r w:rsidRPr="00EE0967">
        <w:rPr>
          <w:rFonts w:ascii="Times New Roman" w:hAnsi="Times New Roman" w:cs="Times New Roman"/>
          <w:sz w:val="28"/>
          <w:szCs w:val="28"/>
        </w:rPr>
        <w:t xml:space="preserve">8%, 2018 – 6%);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33 (10%, 2018 – 11%);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творческая, научная интеллигенция –53 (16%, 2018-0);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–29 (9%, 2018 –8%)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домохозяйка – 4 (1%, 2018 – 1%);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бюджетной сферы – 26 (8%, 2018 – 7%);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– 6 (2%, 2018 - 4%);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-11 (3%, 2018-8, 3%).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8F5E6" wp14:editId="4AEE77DC">
            <wp:extent cx="6176513" cy="4364355"/>
            <wp:effectExtent l="0" t="0" r="1524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заявителей, указавших свою принадлежность к льготной категории, преобладают многодетные семьи, их обратилось 16 (5%, 2018 г. - 4%), дети-инвалиды 3 (1%, 2018г. -1%), ветеран боевых действий 5 (2%, 2018 г. – 1%), участники Великой Отечественной войны – 1 (1%, 2018 г. – 1%).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граждан, за отчетный период составило 316 (2018 г.-195), в том числе по темам: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- 19% - государство, общество, политика – 59 обращений (2018г.- 53 - 20%);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- 28% - жилищно-коммунальная сфера – 89 обращений (2018г.- 74 - 28%);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- 1% - оборона, безопасность, законность – 4 обращения (2018г.-1-1%);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-23% - социальная сфера – 73 обращения (2018г.-51-19%);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- 29%-экономика – 92 обращения (2018г.-85-32%).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тематическая направленность, поступившей от граждан корреспонденции в течение 9 мес. 2019 года, не претерпела значительных изменений по сравнению с 2018 годом.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8FDC7" wp14:editId="71AC8060">
            <wp:extent cx="5758815" cy="4550735"/>
            <wp:effectExtent l="0" t="0" r="13335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Алькеевского района, пользовался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- 92 обращения (29%, 2018г.-85-32%).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Проблемными вопросами населения является вопросы хозяйственной деятельности (64 обращения, 20%). </w:t>
      </w:r>
    </w:p>
    <w:p w:rsidR="00FE4EDD" w:rsidRPr="003E7284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обращений поступило от жителей населенных пунктов </w:t>
      </w:r>
      <w:r w:rsidRPr="009C7E20">
        <w:rPr>
          <w:rFonts w:ascii="Times New Roman" w:hAnsi="Times New Roman" w:cs="Times New Roman"/>
          <w:sz w:val="28"/>
          <w:szCs w:val="28"/>
        </w:rPr>
        <w:t>села Базарные Матаки (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ул.Афанасьева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Тимерязева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Западная,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Актайская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Шункарская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Песочная), Новой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Сиктермы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Новые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Салманы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Нижнее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Алькеево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Салманы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, Старая Тумба, Верхнее </w:t>
      </w:r>
      <w:proofErr w:type="spellStart"/>
      <w:r w:rsidRPr="009C7E20">
        <w:rPr>
          <w:rFonts w:ascii="Times New Roman" w:hAnsi="Times New Roman" w:cs="Times New Roman"/>
          <w:sz w:val="28"/>
          <w:szCs w:val="28"/>
        </w:rPr>
        <w:t>Альмурзино</w:t>
      </w:r>
      <w:proofErr w:type="spellEnd"/>
      <w:r w:rsidRPr="009C7E20">
        <w:rPr>
          <w:rFonts w:ascii="Times New Roman" w:hAnsi="Times New Roman" w:cs="Times New Roman"/>
          <w:sz w:val="28"/>
          <w:szCs w:val="28"/>
        </w:rPr>
        <w:t xml:space="preserve"> озвучили обращения по вопросу приведения дорог в нормативное состояние. </w:t>
      </w:r>
    </w:p>
    <w:p w:rsidR="00FE4EDD" w:rsidRPr="009C7E20" w:rsidRDefault="00ED7B0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(7</w:t>
      </w:r>
      <w:r w:rsidR="00FE4EDD" w:rsidRPr="009C7E20">
        <w:rPr>
          <w:rFonts w:ascii="Times New Roman" w:hAnsi="Times New Roman" w:cs="Times New Roman"/>
          <w:sz w:val="28"/>
          <w:szCs w:val="28"/>
        </w:rPr>
        <w:t>%) жителей района пожаловались на отсутствие или перебои в водоснабжении и газификации. По вопросу перебоев в водоснабжении обратилось 9 граждан, это жители села Базарные Матаки (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 xml:space="preserve">, </w:t>
      </w:r>
      <w:r w:rsidR="00FE4EDD" w:rsidRPr="009C7E20">
        <w:rPr>
          <w:rFonts w:ascii="Times New Roman" w:hAnsi="Times New Roman" w:cs="Times New Roman"/>
          <w:sz w:val="28"/>
          <w:szCs w:val="28"/>
        </w:rPr>
        <w:lastRenderedPageBreak/>
        <w:t xml:space="preserve">Базарная, 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Афанасьвеа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Актайская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 xml:space="preserve">), села Старые 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Салманы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 xml:space="preserve">, Кошки, Новая </w:t>
      </w:r>
      <w:proofErr w:type="spellStart"/>
      <w:r w:rsidR="00FE4EDD" w:rsidRPr="009C7E20">
        <w:rPr>
          <w:rFonts w:ascii="Times New Roman" w:hAnsi="Times New Roman" w:cs="Times New Roman"/>
          <w:sz w:val="28"/>
          <w:szCs w:val="28"/>
        </w:rPr>
        <w:t>Сиктерма</w:t>
      </w:r>
      <w:proofErr w:type="spellEnd"/>
      <w:r w:rsidR="00FE4EDD" w:rsidRPr="009C7E20">
        <w:rPr>
          <w:rFonts w:ascii="Times New Roman" w:hAnsi="Times New Roman" w:cs="Times New Roman"/>
          <w:sz w:val="28"/>
          <w:szCs w:val="28"/>
        </w:rPr>
        <w:t>, Старая Тумба.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89 обращений (28%). Большее число обращений его посвящены вопросам коммунального хозяйства (22 обращения, 7%), обеспечению граждан жилищем и предоставлением субсидии на улучшение жилищных условий (17 обращений, 9%), оплата строительства и ремонта жилья (14 обращений, 4%) и вопросам жилищного фонда (9 обращений, 3%).</w:t>
      </w:r>
    </w:p>
    <w:p w:rsidR="00853A41" w:rsidRDefault="00853A4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72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DD" w:rsidRPr="009C7E2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20">
        <w:rPr>
          <w:rFonts w:ascii="Times New Roman" w:hAnsi="Times New Roman" w:cs="Times New Roman"/>
          <w:sz w:val="28"/>
          <w:szCs w:val="28"/>
        </w:rPr>
        <w:t xml:space="preserve">Преобладающим в данном блоке являются вопросы из блока </w:t>
      </w:r>
      <w:r w:rsidRPr="009C7E20">
        <w:rPr>
          <w:rFonts w:ascii="Times New Roman" w:hAnsi="Times New Roman" w:cs="Times New Roman"/>
          <w:b/>
          <w:sz w:val="28"/>
          <w:szCs w:val="28"/>
        </w:rPr>
        <w:t xml:space="preserve">«Образование. Наука. </w:t>
      </w:r>
      <w:proofErr w:type="gramStart"/>
      <w:r w:rsidRPr="009C7E20">
        <w:rPr>
          <w:rFonts w:ascii="Times New Roman" w:hAnsi="Times New Roman" w:cs="Times New Roman"/>
          <w:b/>
          <w:sz w:val="28"/>
          <w:szCs w:val="28"/>
        </w:rPr>
        <w:t>Культура»  -</w:t>
      </w:r>
      <w:proofErr w:type="gramEnd"/>
      <w:r w:rsidRPr="009C7E20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Pr="009C7E20">
        <w:rPr>
          <w:rFonts w:ascii="Times New Roman" w:hAnsi="Times New Roman" w:cs="Times New Roman"/>
          <w:sz w:val="28"/>
          <w:szCs w:val="28"/>
        </w:rPr>
        <w:t xml:space="preserve"> человека обратились по данному блоку.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объявления о закрытии Старо-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поступило сразу </w:t>
      </w:r>
      <w:r w:rsidRPr="005D0AD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перенаправленных из Аппарата Президента с просьбой ее сохранения. В связи с завершением учебного процесса, поступило 5 обращений от родителей с просьбой оказать содействие в поступлении детей-выпускников в высшие образовательные учреждения.</w:t>
      </w:r>
    </w:p>
    <w:p w:rsidR="00853A41" w:rsidRDefault="00853A4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DC">
        <w:rPr>
          <w:rFonts w:ascii="Times New Roman" w:hAnsi="Times New Roman" w:cs="Times New Roman"/>
          <w:b/>
          <w:sz w:val="28"/>
          <w:szCs w:val="28"/>
        </w:rPr>
        <w:t>Тема здравоохранения,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затронуто в 17 обращениях (5%). В тематике «здравоохранения» затронуто 2 вопроса лечения и оказания медицинской помощи, в тематике «физическая культура и спорт» (15 обращений) большая часть затрагивается материально-техническое и финансовое обеспечения в сфере физической культуры и спорта.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9C7E20">
        <w:rPr>
          <w:rFonts w:ascii="Times New Roman" w:hAnsi="Times New Roman" w:cs="Times New Roman"/>
          <w:b/>
          <w:sz w:val="28"/>
          <w:szCs w:val="28"/>
        </w:rPr>
        <w:t>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10 жителей района (3</w:t>
      </w:r>
      <w:proofErr w:type="gramStart"/>
      <w:r>
        <w:rPr>
          <w:rFonts w:ascii="Times New Roman" w:hAnsi="Times New Roman" w:cs="Times New Roman"/>
          <w:sz w:val="28"/>
          <w:szCs w:val="28"/>
        </w:rPr>
        <w:t>%)  обратились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просьбой оказания содействия в трудоустройстве, у троих возникли вопросы трудового стажа.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касающиеся социального обеспечения и социального страхования населения затронуты в 9 обращениях, из них преобладают обращения по выплате пособий.</w:t>
      </w:r>
    </w:p>
    <w:p w:rsidR="00853A41" w:rsidRDefault="00853A4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DD">
        <w:rPr>
          <w:rFonts w:ascii="Times New Roman" w:hAnsi="Times New Roman" w:cs="Times New Roman"/>
          <w:sz w:val="28"/>
          <w:szCs w:val="28"/>
        </w:rPr>
        <w:t>Тема «</w:t>
      </w:r>
      <w:r w:rsidRPr="00FE4EDD">
        <w:rPr>
          <w:rFonts w:ascii="Times New Roman" w:hAnsi="Times New Roman" w:cs="Times New Roman"/>
          <w:b/>
          <w:sz w:val="28"/>
          <w:szCs w:val="28"/>
        </w:rPr>
        <w:t xml:space="preserve">Государство, общество, </w:t>
      </w:r>
      <w:r w:rsidRPr="000A3D4C">
        <w:rPr>
          <w:rFonts w:ascii="Times New Roman" w:hAnsi="Times New Roman" w:cs="Times New Roman"/>
          <w:b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>» - 59 обращений (19%). В основном в них затрагивается сфера общественной жизни района. В центре внимания авторов находится основы государственного управления 34 обращения (11%). Конституционному строю посвящено 26 обращений (8%).</w:t>
      </w:r>
    </w:p>
    <w:p w:rsidR="00DD78A1" w:rsidRDefault="00FE4EDD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0A3D4C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853A41" w:rsidRDefault="00853A4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A41" w:rsidRDefault="00853A4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A41" w:rsidRDefault="00853A4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A41" w:rsidRDefault="00853A4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BE2" w:rsidRDefault="00DD78A1" w:rsidP="00DD7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обращений поступило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Матаки -  112 обращений, 30% (2018г.-42%) от общего количества поступивших обращений за отчетный период. </w:t>
      </w:r>
    </w:p>
    <w:p w:rsidR="00DD78A1" w:rsidRDefault="00DD78A1" w:rsidP="00DD78A1">
      <w:pPr>
        <w:ind w:firstLine="567"/>
        <w:jc w:val="both"/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11A09" wp14:editId="230087F7">
            <wp:extent cx="5730949" cy="3838354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7BE2" w:rsidRDefault="000A7BE2"/>
    <w:p w:rsidR="000A7BE2" w:rsidRDefault="000A7BE2"/>
    <w:p w:rsidR="000A7BE2" w:rsidRDefault="000A7BE2"/>
    <w:p w:rsidR="000A7BE2" w:rsidRDefault="000A7BE2"/>
    <w:p w:rsidR="000A7BE2" w:rsidRDefault="000A7BE2">
      <w:pPr>
        <w:sectPr w:rsidR="000A7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BE2" w:rsidRDefault="00DD78A1"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767CE1" wp14:editId="5CA17F4E">
            <wp:extent cx="9686260" cy="5560828"/>
            <wp:effectExtent l="0" t="0" r="1079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7BE2" w:rsidRDefault="000A7BE2"/>
    <w:sectPr w:rsidR="000A7BE2" w:rsidSect="000A7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A"/>
    <w:rsid w:val="000A7BE2"/>
    <w:rsid w:val="00257DBD"/>
    <w:rsid w:val="00336385"/>
    <w:rsid w:val="0055482E"/>
    <w:rsid w:val="0074023A"/>
    <w:rsid w:val="00853A41"/>
    <w:rsid w:val="00B260C7"/>
    <w:rsid w:val="00DD78A1"/>
    <w:rsid w:val="00ED7B0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367D-F049-47CE-83D2-0AA00A4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Алькеевского муниципального района РТ с 01.01.2019г. по 30.09.2019г.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0496261753688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3980582524271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00-4933-AE18-F5A0DC109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00-4933-AE18-F5A0DC109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Личный прием граждан, поступивших в Совет Алькеевского муниципального района РТ с 01.01.2019г. по 30.09.2019г.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Алькеевского муниципального района РТ с 01.01.2019г. по 30.09.2019г.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</a:t>
            </a:r>
            <a:r>
              <a:rPr lang="ru-RU" baseline="0"/>
              <a:t> обращения граждан в разрезе вида доставки</a:t>
            </a:r>
            <a:r>
              <a:rPr lang="ru-RU"/>
              <a:t>, поступивших в Совет Алькеевского муниципального района РТ с 01.01.2019г. по 30.06.2019г.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8-4A7B-B5F0-DFD1627BB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D8-4A7B-B5F0-DFD1627BB6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D8-4A7B-B5F0-DFD1627BB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социальному положению граждан, обратившихся в Совета Алькеевского муниципального района за 9 месяцев 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732469668928643E-2"/>
          <c:y val="0.26635757173740454"/>
          <c:w val="0.97326753033107138"/>
          <c:h val="0.723418695316948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7B0-42B2-A5CC-5353B46EC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7B0-42B2-A5CC-5353B46ECD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7B0-42B2-A5CC-5353B46ECD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7B0-42B2-A5CC-5353B46ECD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7B0-42B2-A5CC-5353B46ECD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7B0-42B2-A5CC-5353B46ECD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7B0-42B2-A5CC-5353B46ECDF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7B0-42B2-A5CC-5353B46ECDF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7B0-42B2-A5CC-5353B46ECDF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7B0-42B2-A5CC-5353B46ECDFC}"/>
              </c:ext>
            </c:extLst>
          </c:dPt>
          <c:dLbls>
            <c:dLbl>
              <c:idx val="0"/>
              <c:layout>
                <c:manualLayout>
                  <c:x val="-9.2190265235969571E-2"/>
                  <c:y val="3.42100951916148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0-42B2-A5CC-5353B46ECDFC}"/>
                </c:ext>
              </c:extLst>
            </c:dLbl>
            <c:dLbl>
              <c:idx val="1"/>
              <c:layout>
                <c:manualLayout>
                  <c:x val="-1.2422421595819879E-2"/>
                  <c:y val="2.19118288956786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B0-42B2-A5CC-5353B46ECDFC}"/>
                </c:ext>
              </c:extLst>
            </c:dLbl>
            <c:dLbl>
              <c:idx val="2"/>
              <c:layout>
                <c:manualLayout>
                  <c:x val="-5.9358712178252514E-3"/>
                  <c:y val="3.62126820572570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B0-42B2-A5CC-5353B46ECDFC}"/>
                </c:ext>
              </c:extLst>
            </c:dLbl>
            <c:dLbl>
              <c:idx val="3"/>
              <c:layout>
                <c:manualLayout>
                  <c:x val="-3.0922715474877793E-2"/>
                  <c:y val="-9.8492446191934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B0-42B2-A5CC-5353B46ECDFC}"/>
                </c:ext>
              </c:extLst>
            </c:dLbl>
            <c:dLbl>
              <c:idx val="4"/>
              <c:layout>
                <c:manualLayout>
                  <c:x val="-7.6424746721588856E-3"/>
                  <c:y val="-0.159968426033170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0-42B2-A5CC-5353B46ECDFC}"/>
                </c:ext>
              </c:extLst>
            </c:dLbl>
            <c:dLbl>
              <c:idx val="5"/>
              <c:layout>
                <c:manualLayout>
                  <c:x val="-1.322390993537899E-2"/>
                  <c:y val="-0.139300996367160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0-42B2-A5CC-5353B46ECDFC}"/>
                </c:ext>
              </c:extLst>
            </c:dLbl>
            <c:dLbl>
              <c:idx val="6"/>
              <c:layout>
                <c:manualLayout>
                  <c:x val="-4.4444552389001964E-3"/>
                  <c:y val="-5.13358789557679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7B0-42B2-A5CC-5353B46ECDFC}"/>
                </c:ext>
              </c:extLst>
            </c:dLbl>
            <c:dLbl>
              <c:idx val="7"/>
              <c:layout>
                <c:manualLayout>
                  <c:x val="-7.6231741852749585E-2"/>
                  <c:y val="-0.105820218566088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B0-42B2-A5CC-5353B46ECDFC}"/>
                </c:ext>
              </c:extLst>
            </c:dLbl>
            <c:dLbl>
              <c:idx val="9"/>
              <c:layout>
                <c:manualLayout>
                  <c:x val="-6.2670073396901921E-2"/>
                  <c:y val="7.44762971848073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7B0-42B2-A5CC-5353B46ECD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Безработные 9%</c:v>
                </c:pt>
                <c:pt idx="1">
                  <c:v>Домохозяйка 1%</c:v>
                </c:pt>
                <c:pt idx="2">
                  <c:v>Пенсионер 10%</c:v>
                </c:pt>
                <c:pt idx="3">
                  <c:v>Работающий 8%</c:v>
                </c:pt>
                <c:pt idx="4">
                  <c:v>Работник бюджет.сферы 8%</c:v>
                </c:pt>
                <c:pt idx="5">
                  <c:v>Руководитель 2%</c:v>
                </c:pt>
                <c:pt idx="6">
                  <c:v>Сотрудник УВД 0,5%</c:v>
                </c:pt>
                <c:pt idx="7">
                  <c:v>Творческая интеллегенция 16%</c:v>
                </c:pt>
                <c:pt idx="8">
                  <c:v>Не установлено 40%</c:v>
                </c:pt>
                <c:pt idx="9">
                  <c:v>Предприниматель 3%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4</c:v>
                </c:pt>
                <c:pt idx="2">
                  <c:v>33</c:v>
                </c:pt>
                <c:pt idx="3">
                  <c:v>25</c:v>
                </c:pt>
                <c:pt idx="4">
                  <c:v>26</c:v>
                </c:pt>
                <c:pt idx="5">
                  <c:v>6</c:v>
                </c:pt>
                <c:pt idx="6">
                  <c:v>1</c:v>
                </c:pt>
                <c:pt idx="7">
                  <c:v>53</c:v>
                </c:pt>
                <c:pt idx="8">
                  <c:v>128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7B0-42B2-A5CC-5353B46ECDFC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51480253095818285"/>
          <c:w val="0.26658765125056466"/>
          <c:h val="0.482325567008183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Вопросы, содержащиеся в обращениях граждан</a:t>
            </a:r>
            <a:r>
              <a:rPr lang="ru-RU" baseline="0"/>
              <a:t>, </a:t>
            </a:r>
            <a:r>
              <a:rPr lang="ru-RU"/>
              <a:t>поступивших в Совет Алькеевского муниципального района РТ с 01.01.2019г. по 30.09.2019г.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89</c:v>
                </c:pt>
                <c:pt idx="2">
                  <c:v>4</c:v>
                </c:pt>
                <c:pt idx="3">
                  <c:v>73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7-4C78-9E27-EEB2027F8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7-4C78-9E27-EEB2027F85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</c:v>
                </c:pt>
                <c:pt idx="1">
                  <c:v>74</c:v>
                </c:pt>
                <c:pt idx="2">
                  <c:v>1</c:v>
                </c:pt>
                <c:pt idx="3">
                  <c:v>51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87-4C78-9E27-EEB2027F8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обращения граждан, </a:t>
            </a:r>
            <a:r>
              <a:rPr lang="ru-RU"/>
              <a:t>поступивших в Совет Алькеевского муниципального района РТ с 01.01.2019г. по 30.09.2019г. от жителей села Базарные Матаки</a:t>
            </a:r>
          </a:p>
          <a:p>
            <a:pPr>
              <a:defRPr/>
            </a:pPr>
            <a:r>
              <a:rPr lang="ru-RU"/>
              <a:t>(в сравнении с аналогичными периодами </a:t>
            </a:r>
          </a:p>
          <a:p>
            <a:pPr>
              <a:defRPr/>
            </a:pPr>
            <a:r>
              <a:rPr lang="ru-RU"/>
              <a:t>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9-42FC-BDD2-2A788F37A3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09-42FC-BDD2-2A788F37A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802848"/>
        <c:axId val="415798256"/>
        <c:axId val="0"/>
      </c:bar3D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граждан, поступивших в Совет Алькеевского муниципального района РТ с 01.01.2019г. по 30.09.2019г. (в разрезе сельских поселений)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Аппаковское</c:v>
                </c:pt>
                <c:pt idx="1">
                  <c:v>Борискинское</c:v>
                </c:pt>
                <c:pt idx="2">
                  <c:v>Верхнеколчуринское</c:v>
                </c:pt>
                <c:pt idx="3">
                  <c:v>Каргопольское</c:v>
                </c:pt>
                <c:pt idx="4">
                  <c:v>Кошкинское</c:v>
                </c:pt>
                <c:pt idx="5">
                  <c:v>Нижнеалькеевское</c:v>
                </c:pt>
                <c:pt idx="6">
                  <c:v>Нижнекачеевское</c:v>
                </c:pt>
                <c:pt idx="7">
                  <c:v>Новоургагарское</c:v>
                </c:pt>
                <c:pt idx="8">
                  <c:v>Салманское</c:v>
                </c:pt>
                <c:pt idx="9">
                  <c:v>Староалпаровское</c:v>
                </c:pt>
                <c:pt idx="10">
                  <c:v>Старокамкинское</c:v>
                </c:pt>
                <c:pt idx="11">
                  <c:v>Староматакское</c:v>
                </c:pt>
                <c:pt idx="12">
                  <c:v>Старосалмановское</c:v>
                </c:pt>
                <c:pt idx="13">
                  <c:v>Старохурадинское</c:v>
                </c:pt>
                <c:pt idx="14">
                  <c:v>Старочелнинское</c:v>
                </c:pt>
                <c:pt idx="15">
                  <c:v>Тяжбердинское</c:v>
                </c:pt>
                <c:pt idx="16">
                  <c:v>Чувашско-Бродское</c:v>
                </c:pt>
                <c:pt idx="17">
                  <c:v>Чувашско-Бурнаевское</c:v>
                </c:pt>
                <c:pt idx="18">
                  <c:v>Шибашинское</c:v>
                </c:pt>
                <c:pt idx="19">
                  <c:v>Юхмачинское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3</c:v>
                </c:pt>
                <c:pt idx="11">
                  <c:v>8</c:v>
                </c:pt>
                <c:pt idx="12">
                  <c:v>8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10</c:v>
                </c:pt>
                <c:pt idx="17">
                  <c:v>62</c:v>
                </c:pt>
                <c:pt idx="18">
                  <c:v>0</c:v>
                </c:pt>
                <c:pt idx="1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EC-4401-AC9F-E5BEB32ED8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Аппаковское</c:v>
                </c:pt>
                <c:pt idx="1">
                  <c:v>Борискинское</c:v>
                </c:pt>
                <c:pt idx="2">
                  <c:v>Верхнеколчуринское</c:v>
                </c:pt>
                <c:pt idx="3">
                  <c:v>Каргопольское</c:v>
                </c:pt>
                <c:pt idx="4">
                  <c:v>Кошкинское</c:v>
                </c:pt>
                <c:pt idx="5">
                  <c:v>Нижнеалькеевское</c:v>
                </c:pt>
                <c:pt idx="6">
                  <c:v>Нижнекачеевское</c:v>
                </c:pt>
                <c:pt idx="7">
                  <c:v>Новоургагарское</c:v>
                </c:pt>
                <c:pt idx="8">
                  <c:v>Салманское</c:v>
                </c:pt>
                <c:pt idx="9">
                  <c:v>Староалпаровское</c:v>
                </c:pt>
                <c:pt idx="10">
                  <c:v>Старокамкинское</c:v>
                </c:pt>
                <c:pt idx="11">
                  <c:v>Староматакское</c:v>
                </c:pt>
                <c:pt idx="12">
                  <c:v>Старосалмановское</c:v>
                </c:pt>
                <c:pt idx="13">
                  <c:v>Старохурадинское</c:v>
                </c:pt>
                <c:pt idx="14">
                  <c:v>Старочелнинское</c:v>
                </c:pt>
                <c:pt idx="15">
                  <c:v>Тяжбердинское</c:v>
                </c:pt>
                <c:pt idx="16">
                  <c:v>Чувашско-Бродское</c:v>
                </c:pt>
                <c:pt idx="17">
                  <c:v>Чувашско-Бурнаевское</c:v>
                </c:pt>
                <c:pt idx="18">
                  <c:v>Шибашинское</c:v>
                </c:pt>
                <c:pt idx="19">
                  <c:v>Юхмачинское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8</c:v>
                </c:pt>
                <c:pt idx="9">
                  <c:v>2</c:v>
                </c:pt>
                <c:pt idx="10">
                  <c:v>5</c:v>
                </c:pt>
                <c:pt idx="11">
                  <c:v>10</c:v>
                </c:pt>
                <c:pt idx="12">
                  <c:v>6</c:v>
                </c:pt>
                <c:pt idx="13">
                  <c:v>4</c:v>
                </c:pt>
                <c:pt idx="14">
                  <c:v>2</c:v>
                </c:pt>
                <c:pt idx="15">
                  <c:v>5</c:v>
                </c:pt>
                <c:pt idx="16">
                  <c:v>8</c:v>
                </c:pt>
                <c:pt idx="17">
                  <c:v>3</c:v>
                </c:pt>
                <c:pt idx="18">
                  <c:v>1</c:v>
                </c:pt>
                <c:pt idx="1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EC-4401-AC9F-E5BEB32ED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802848"/>
        <c:axId val="415798256"/>
      </c:barChart>
      <c:catAx>
        <c:axId val="41580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798256"/>
        <c:crosses val="autoZero"/>
        <c:auto val="1"/>
        <c:lblAlgn val="ctr"/>
        <c:lblOffset val="100"/>
        <c:noMultiLvlLbl val="0"/>
      </c:catAx>
      <c:valAx>
        <c:axId val="415798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80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43F5-45AE-4789-B880-BD3554F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Советникова</dc:creator>
  <cp:keywords/>
  <dc:description/>
  <cp:lastModifiedBy>Маргарита Советникова</cp:lastModifiedBy>
  <cp:revision>7</cp:revision>
  <cp:lastPrinted>2019-12-17T10:19:00Z</cp:lastPrinted>
  <dcterms:created xsi:type="dcterms:W3CDTF">2019-12-17T09:17:00Z</dcterms:created>
  <dcterms:modified xsi:type="dcterms:W3CDTF">2020-01-06T07:40:00Z</dcterms:modified>
</cp:coreProperties>
</file>