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B7" w:rsidRDefault="00CE38B7" w:rsidP="00CE38B7">
      <w:pPr>
        <w:pStyle w:val="a3"/>
      </w:pPr>
      <w:r>
        <w:t xml:space="preserve"> </w:t>
      </w:r>
    </w:p>
    <w:p w:rsidR="00CE38B7" w:rsidRPr="00CE38B7" w:rsidRDefault="00CE38B7" w:rsidP="00CE38B7">
      <w:pPr>
        <w:pStyle w:val="a3"/>
        <w:rPr>
          <w:b/>
        </w:rPr>
      </w:pPr>
      <w:r>
        <w:rPr>
          <w:b/>
        </w:rPr>
        <w:t>ЭЛЕКТРОННЫЕ ТРУДОВЫЕ КНИЖКИ</w:t>
      </w:r>
    </w:p>
    <w:p w:rsidR="00CE38B7" w:rsidRDefault="00CE38B7" w:rsidP="00CE38B7">
      <w:pPr>
        <w:pStyle w:val="a3"/>
      </w:pPr>
      <w:r>
        <w:t>С 2020 года вводится электронная трудовая книжка. Индивидуальный лицевой счет в системе персонифицированного учета дополняется новым разделом «Сведения о трудовой деятельности».</w:t>
      </w:r>
    </w:p>
    <w:p w:rsidR="00CE38B7" w:rsidRDefault="00CE38B7" w:rsidP="00CE38B7">
      <w:pPr>
        <w:pStyle w:val="a3"/>
      </w:pPr>
      <w:r>
        <w:t>Новый цифровой формат документа позволит снизить издержки на приобретение, ведение и хранение бумажных аналогов, оптимизировать и ускорить документооборот, снизить риск потери документа.</w:t>
      </w:r>
    </w:p>
    <w:p w:rsidR="00CE38B7" w:rsidRDefault="00CE38B7" w:rsidP="00CE38B7">
      <w:pPr>
        <w:pStyle w:val="a3"/>
      </w:pPr>
      <w:r>
        <w:t xml:space="preserve">Для граждан переход на новую систему добровольный, </w:t>
      </w:r>
      <w:proofErr w:type="gramStart"/>
      <w:r>
        <w:t>однако</w:t>
      </w:r>
      <w:proofErr w:type="gramEnd"/>
      <w:r>
        <w:t xml:space="preserve"> для тех, кто устроится на работу впервые с 2021 года, выбора между «цифрой» и «бумагой» не будет.</w:t>
      </w:r>
    </w:p>
    <w:p w:rsidR="00CE38B7" w:rsidRDefault="00CE38B7" w:rsidP="00CE38B7">
      <w:pPr>
        <w:pStyle w:val="a3"/>
      </w:pPr>
      <w:r>
        <w:t xml:space="preserve">Работник вправе запрашивать сведения о трудовой деятельности у работодателя, в любом территориальном органе ПФР, МФЦ, на портале </w:t>
      </w:r>
      <w:proofErr w:type="spellStart"/>
      <w:r>
        <w:t>госуслуг</w:t>
      </w:r>
      <w:proofErr w:type="spellEnd"/>
      <w:r>
        <w:t xml:space="preserve"> и сайте ПФР.</w:t>
      </w:r>
    </w:p>
    <w:p w:rsidR="00CE38B7" w:rsidRDefault="00CE38B7" w:rsidP="00CE38B7">
      <w:pPr>
        <w:pStyle w:val="a3"/>
      </w:pPr>
      <w:r>
        <w:t>Для работодателей с нового года вводится обязанность ежемесячно представлять в Пенсионный фонд России сведения о трудовой деятельности до 15 числа следующего месяца, а с января 2021 года сведения о приеме на работу и увольнении должны  представляться не позднее следующего рабочего дня после издания приказа.</w:t>
      </w:r>
    </w:p>
    <w:p w:rsidR="00CE38B7" w:rsidRDefault="00CE38B7" w:rsidP="00CE38B7">
      <w:pPr>
        <w:pStyle w:val="a3"/>
      </w:pPr>
      <w:r>
        <w:t xml:space="preserve">Обращаем внимание, что сбой информации или взлом с последующим изменением или уничтожениям данных невозможны. Информация лицевых счетов фиксируется в распределённых системах хранения, что </w:t>
      </w:r>
      <w:r>
        <w:rPr>
          <w:rStyle w:val="a4"/>
        </w:rPr>
        <w:t>исключает</w:t>
      </w:r>
      <w:r>
        <w:t xml:space="preserve"> риск потери данных. Система Пенсионного фонда соответствует всем требованиям по приему, хранению и обработке персональных данных.</w:t>
      </w:r>
    </w:p>
    <w:p w:rsidR="00135A06" w:rsidRDefault="00CE38B7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s://xn--80apfedmab8e4d.xn--p1ai/wp-content/uploads/2018/06/00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pfedmab8e4d.xn--p1ai/wp-content/uploads/2018/06/001-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A06" w:rsidSect="0013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38B7"/>
    <w:rsid w:val="00135A06"/>
    <w:rsid w:val="00CE38B7"/>
    <w:rsid w:val="00E3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8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2020-01-21T06:36:00Z</dcterms:created>
  <dcterms:modified xsi:type="dcterms:W3CDTF">2020-01-21T07:03:00Z</dcterms:modified>
</cp:coreProperties>
</file>