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1A" w:rsidRPr="00445B1A" w:rsidRDefault="00445B1A" w:rsidP="00445B1A">
      <w:pPr>
        <w:jc w:val="both"/>
        <w:rPr>
          <w:b/>
          <w:sz w:val="28"/>
          <w:szCs w:val="28"/>
        </w:rPr>
      </w:pPr>
      <w:bookmarkStart w:id="0" w:name="_GoBack"/>
      <w:r w:rsidRPr="00445B1A">
        <w:rPr>
          <w:b/>
          <w:sz w:val="28"/>
          <w:szCs w:val="28"/>
        </w:rPr>
        <w:t>Порядок использования открытого огня и разведение костров</w:t>
      </w:r>
    </w:p>
    <w:p w:rsidR="00445B1A" w:rsidRDefault="00445B1A" w:rsidP="00445B1A">
      <w:pPr>
        <w:jc w:val="both"/>
      </w:pPr>
    </w:p>
    <w:bookmarkEnd w:id="0"/>
    <w:p w:rsidR="00445B1A" w:rsidRDefault="00445B1A" w:rsidP="00445B1A">
      <w:pPr>
        <w:jc w:val="both"/>
      </w:pPr>
      <w:r>
        <w:t>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 xml:space="preserve"> </w:t>
      </w:r>
      <w:proofErr w:type="gramStart"/>
      <w: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</w:t>
      </w:r>
      <w:proofErr w:type="gramEnd"/>
      <w:r>
        <w:t xml:space="preserve"> 1 куб. метра;</w:t>
      </w:r>
    </w:p>
    <w:p w:rsidR="00445B1A" w:rsidRDefault="00445B1A" w:rsidP="00445B1A">
      <w:pPr>
        <w:jc w:val="both"/>
      </w:pPr>
      <w:r>
        <w:rPr>
          <w:noProof/>
        </w:rPr>
        <w:drawing>
          <wp:inline distT="0" distB="0" distL="0" distR="0">
            <wp:extent cx="4597190" cy="2781300"/>
            <wp:effectExtent l="0" t="0" r="0" b="0"/>
            <wp:docPr id="1" name="Рисунок 1" descr="C:\Users\User\Desktop\68259026b28b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8259026b28b4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072" cy="278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1A" w:rsidRDefault="00445B1A" w:rsidP="00445B1A">
      <w:pPr>
        <w:jc w:val="both"/>
      </w:pPr>
      <w:r>
        <w:t>-место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proofErr w:type="gramStart"/>
      <w:r>
        <w:t>-При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 xml:space="preserve">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 xml:space="preserve">При этом минимально допустимый радиус зоны очистки вокруг очага горения от сухостойных деревьев, сухой травы, валежника, порубочных остатков, других горючих </w:t>
      </w:r>
      <w:r>
        <w:lastRenderedPageBreak/>
        <w:t>материалов в зависимости от высоты точки их размещения должен соответствовать нижеуказанным значениям: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rPr>
          <w:noProof/>
        </w:rPr>
        <w:drawing>
          <wp:inline distT="0" distB="0" distL="0" distR="0">
            <wp:extent cx="4345158" cy="2590800"/>
            <wp:effectExtent l="0" t="0" r="0" b="0"/>
            <wp:docPr id="2" name="Рисунок 2" descr="C:\Users\User\Desktop\682590316b5eb_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82590316b5eb_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37" cy="258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1A" w:rsidRDefault="00445B1A" w:rsidP="00445B1A">
      <w:pPr>
        <w:jc w:val="both"/>
      </w:pPr>
      <w:r>
        <w:t>Использование открытого огня запрещается: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на торфяных почвах;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при установлении на соответствующей территории особого противопожарного режима;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под кронами деревьев хвойных пород;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в емкости, стенки которой имеют огненный сквозной прогар;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при скорости ветра, превышающей значение 10 метров в секунду.</w:t>
      </w:r>
    </w:p>
    <w:p w:rsidR="00445B1A" w:rsidRDefault="00445B1A" w:rsidP="00445B1A">
      <w:pPr>
        <w:jc w:val="both"/>
      </w:pPr>
    </w:p>
    <w:p w:rsidR="00445B1A" w:rsidRDefault="00445B1A" w:rsidP="00445B1A">
      <w:pPr>
        <w:jc w:val="both"/>
      </w:pPr>
      <w:r>
        <w:t>-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445B1A" w:rsidRDefault="00445B1A" w:rsidP="00445B1A">
      <w:pPr>
        <w:jc w:val="both"/>
      </w:pPr>
    </w:p>
    <w:p w:rsidR="002816C6" w:rsidRDefault="002816C6" w:rsidP="00445B1A">
      <w:pPr>
        <w:jc w:val="both"/>
      </w:pPr>
    </w:p>
    <w:sectPr w:rsidR="002816C6" w:rsidSect="00445B1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53"/>
    <w:rsid w:val="000F4B80"/>
    <w:rsid w:val="00144783"/>
    <w:rsid w:val="00185411"/>
    <w:rsid w:val="002816C6"/>
    <w:rsid w:val="00313030"/>
    <w:rsid w:val="00445B1A"/>
    <w:rsid w:val="00491E84"/>
    <w:rsid w:val="00651E38"/>
    <w:rsid w:val="00731EFB"/>
    <w:rsid w:val="00813953"/>
    <w:rsid w:val="00A519AC"/>
    <w:rsid w:val="00AC5538"/>
    <w:rsid w:val="00C664AB"/>
    <w:rsid w:val="00E05C0D"/>
    <w:rsid w:val="00E63582"/>
    <w:rsid w:val="00F822F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4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E84"/>
    <w:pPr>
      <w:keepNext/>
      <w:ind w:left="4860"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qFormat/>
    <w:rsid w:val="00491E8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E8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E84"/>
    <w:pPr>
      <w:keepNext/>
      <w:jc w:val="center"/>
      <w:outlineLvl w:val="3"/>
    </w:pPr>
    <w:rPr>
      <w:rFonts w:eastAsiaTheme="minorEastAsia" w:cstheme="minorBidi"/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491E84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1E84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491E84"/>
    <w:rPr>
      <w:rFonts w:ascii="Calibri" w:hAnsi="Calibri" w:cs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rFonts w:eastAsiaTheme="majorEastAsia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eastAsiaTheme="maj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91E84"/>
    <w:rPr>
      <w:rFonts w:eastAsiaTheme="minorEastAsia" w:cstheme="minorBidi"/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rFonts w:eastAsiaTheme="minorEastAsia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5B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B1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84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E84"/>
    <w:pPr>
      <w:keepNext/>
      <w:ind w:left="4860"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qFormat/>
    <w:rsid w:val="00491E8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E8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E84"/>
    <w:pPr>
      <w:keepNext/>
      <w:jc w:val="center"/>
      <w:outlineLvl w:val="3"/>
    </w:pPr>
    <w:rPr>
      <w:rFonts w:eastAsiaTheme="minorEastAsia" w:cstheme="minorBidi"/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491E84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1E84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491E84"/>
    <w:rPr>
      <w:rFonts w:ascii="Calibri" w:hAnsi="Calibri" w:cs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rFonts w:eastAsiaTheme="majorEastAsia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eastAsiaTheme="maj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91E84"/>
    <w:rPr>
      <w:rFonts w:eastAsiaTheme="minorEastAsia" w:cstheme="minorBidi"/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rFonts w:eastAsiaTheme="minorEastAsia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5B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B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2025-05-16T13:09:00Z</dcterms:created>
  <dcterms:modified xsi:type="dcterms:W3CDTF">2025-05-16T13:09:00Z</dcterms:modified>
</cp:coreProperties>
</file>