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C6" w:rsidRPr="00FF0FC6" w:rsidRDefault="00FF0FC6" w:rsidP="00FF0FC6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</w:rPr>
      </w:pPr>
      <w:bookmarkStart w:id="0" w:name="_GoBack"/>
      <w:r w:rsidRPr="00FF0FC6">
        <w:rPr>
          <w:rFonts w:ascii="Times New Roman" w:eastAsia="Times New Roman" w:hAnsi="Times New Roman" w:cs="Times New Roman"/>
          <w:b/>
          <w:bCs/>
          <w:color w:val="3B4256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FF0FC6" w:rsidRPr="00FF0FC6" w:rsidRDefault="00FF0FC6" w:rsidP="00FF0FC6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FF0FC6"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03011D36" wp14:editId="7355C9BD">
            <wp:extent cx="6096000" cy="4572000"/>
            <wp:effectExtent l="0" t="0" r="0" b="0"/>
            <wp:docPr id="1" name="Рисунок 1" descr="Консультация – предупреждение об интенсивности метеорологических явлений на территории Республики Татарстан">
              <a:hlinkClick xmlns:a="http://schemas.openxmlformats.org/drawingml/2006/main" r:id="rId4" tooltip="&quot;Консультация – предупреждение об интенсивности метеорологических явлений на территории Республики Татарста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ультация – предупреждение об интенсивности метеорологических явлений на территории Республики Татарстан">
                      <a:hlinkClick r:id="rId4" tooltip="&quot;Консультация – предупреждение об интенсивности метеорологических явлений на территории Республики Татарста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C6" w:rsidRPr="00FF0FC6" w:rsidRDefault="00FF0FC6" w:rsidP="00FF0FC6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FF0FC6" w:rsidRPr="00FF0FC6" w:rsidRDefault="00FF0FC6" w:rsidP="00FF0FC6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Консультация – </w:t>
      </w:r>
      <w:proofErr w:type="gramStart"/>
      <w:r w:rsidRPr="00FF0FC6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предупреждение  об</w:t>
      </w:r>
      <w:proofErr w:type="gramEnd"/>
      <w:r w:rsidRPr="00FF0FC6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 xml:space="preserve"> интенсивности метеорологического явления</w:t>
      </w:r>
    </w:p>
    <w:p w:rsidR="00FF0FC6" w:rsidRPr="00FF0FC6" w:rsidRDefault="00FF0FC6" w:rsidP="00FF0FC6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с 18 час. 5 сентября до 18 час. 6 сентября 2025 г.</w:t>
      </w:r>
    </w:p>
    <w:p w:rsidR="00FF0FC6" w:rsidRPr="00FF0FC6" w:rsidRDefault="00FF0FC6" w:rsidP="00FF0FC6">
      <w:pPr>
        <w:spacing w:after="0" w:line="383" w:lineRule="atLeast"/>
        <w:jc w:val="center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b/>
          <w:bCs/>
          <w:color w:val="3B4256"/>
          <w:spacing w:val="3"/>
          <w:sz w:val="28"/>
          <w:szCs w:val="28"/>
          <w:bdr w:val="none" w:sz="0" w:space="0" w:color="auto" w:frame="1"/>
          <w:lang w:eastAsia="ru-RU"/>
        </w:rPr>
        <w:t>6 сентября в Республике Татарстан местами ожидается сильный ветер порывами до 16 м/с.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ГУ МЧС России по Республике Татарстан рекомендует: 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усилении ветра: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8. Необходимо держаться как можно дальше от окон в жилом или рабочем помещении.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грозе: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Водителям быть предельно внимательными при дорожном движении.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Пешеходам соблюдать повышенную осторожность при переходе через автотрассы и при нахождении вблизи них.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 возможности откажитесь от поездок на дальние расстояния.</w:t>
      </w:r>
    </w:p>
    <w:p w:rsidR="00FF0FC6" w:rsidRPr="00FF0FC6" w:rsidRDefault="00FF0FC6" w:rsidP="00FF0FC6">
      <w:pPr>
        <w:spacing w:after="0" w:line="383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FF0FC6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294D3C" w:rsidRPr="00FF0FC6" w:rsidRDefault="00294D3C" w:rsidP="00FF0F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4D3C" w:rsidRPr="00FF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E9"/>
    <w:rsid w:val="000050E9"/>
    <w:rsid w:val="00294D3C"/>
    <w:rsid w:val="00FF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FCC20-4DFE-4193-B310-0D1ABB37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46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16.mchs.gov.ru/uploads/resize_cache/news/2025-09-05/a2788f8ed4d1997dd399dfb6627196dd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2025-09-05T11:43:00Z</dcterms:created>
  <dcterms:modified xsi:type="dcterms:W3CDTF">2025-09-05T11:48:00Z</dcterms:modified>
</cp:coreProperties>
</file>