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63" w:rsidRPr="00436763" w:rsidRDefault="00436763" w:rsidP="00436763">
      <w:pPr>
        <w:shd w:val="clear" w:color="auto" w:fill="FFFFFF"/>
        <w:spacing w:after="0" w:line="8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A0A0B"/>
          <w:kern w:val="36"/>
          <w:sz w:val="72"/>
          <w:szCs w:val="72"/>
          <w:lang w:eastAsia="ru-RU"/>
        </w:rPr>
      </w:pPr>
      <w:r w:rsidRPr="00436763">
        <w:rPr>
          <w:rFonts w:ascii="Times New Roman" w:eastAsia="Times New Roman" w:hAnsi="Times New Roman" w:cs="Times New Roman"/>
          <w:b/>
          <w:bCs/>
          <w:i/>
          <w:iCs/>
          <w:color w:val="0A0A0B"/>
          <w:kern w:val="36"/>
          <w:sz w:val="72"/>
          <w:szCs w:val="72"/>
          <w:lang w:eastAsia="ru-RU"/>
        </w:rPr>
        <w:t>Новые схемы мошенничества и как от них защититься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В 2025 году мошенники стали действовать 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изощреннее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 — их схемы стали менее очевидны, и распознать обман с первого взгляда стало сложнее. Рассказываем, какие уловки они используют сегодня и даем советы по цифровой гигиене.</w:t>
      </w:r>
    </w:p>
    <w:p w:rsidR="00436763" w:rsidRPr="00436763" w:rsidRDefault="00436763" w:rsidP="00436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B"/>
          <w:sz w:val="24"/>
          <w:szCs w:val="24"/>
          <w:lang w:eastAsia="ru-RU"/>
        </w:rPr>
      </w:pPr>
      <w:r w:rsidRPr="00436763">
        <w:rPr>
          <w:rFonts w:ascii="Arial" w:eastAsia="Times New Roman" w:hAnsi="Arial" w:cs="Arial"/>
          <w:noProof/>
          <w:color w:val="0A0A0B"/>
          <w:sz w:val="24"/>
          <w:szCs w:val="24"/>
          <w:lang w:eastAsia="ru-RU"/>
        </w:rPr>
        <w:drawing>
          <wp:inline distT="0" distB="0" distL="0" distR="0" wp14:anchorId="41D0D508" wp14:editId="6D3D0D97">
            <wp:extent cx="6076646" cy="1998897"/>
            <wp:effectExtent l="0" t="0" r="635" b="1905"/>
            <wp:docPr id="1" name="Рисунок 1" descr="https://cdn.gpb.ru/upload/files/iblock/cae/ptz1szcnq5f4v7gp0v7hvz4bytvyajzk/x1_titul_2432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gpb.ru/upload/files/iblock/cae/ptz1szcnq5f4v7gp0v7hvz4bytvyajzk/x1_titul_2432x8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3" cy="201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763" w:rsidRPr="00436763" w:rsidRDefault="00436763" w:rsidP="00436763">
      <w:pPr>
        <w:shd w:val="clear" w:color="auto" w:fill="FFFFFF"/>
        <w:spacing w:after="0" w:line="7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A0A0B"/>
          <w:sz w:val="66"/>
          <w:szCs w:val="66"/>
          <w:lang w:eastAsia="ru-RU"/>
        </w:rPr>
      </w:pPr>
      <w:r w:rsidRPr="00436763">
        <w:rPr>
          <w:rFonts w:ascii="Times New Roman" w:eastAsia="Times New Roman" w:hAnsi="Times New Roman" w:cs="Times New Roman"/>
          <w:b/>
          <w:bCs/>
          <w:color w:val="0A0A0B"/>
          <w:sz w:val="66"/>
          <w:szCs w:val="66"/>
          <w:lang w:eastAsia="ru-RU"/>
        </w:rPr>
        <w:t xml:space="preserve">«Возвращение» </w:t>
      </w:r>
      <w:proofErr w:type="spellStart"/>
      <w:r w:rsidRPr="00436763">
        <w:rPr>
          <w:rFonts w:ascii="Times New Roman" w:eastAsia="Times New Roman" w:hAnsi="Times New Roman" w:cs="Times New Roman"/>
          <w:b/>
          <w:bCs/>
          <w:color w:val="0A0A0B"/>
          <w:sz w:val="66"/>
          <w:szCs w:val="66"/>
          <w:lang w:eastAsia="ru-RU"/>
        </w:rPr>
        <w:t>Visa</w:t>
      </w:r>
      <w:proofErr w:type="spellEnd"/>
      <w:r w:rsidRPr="00436763">
        <w:rPr>
          <w:rFonts w:ascii="Times New Roman" w:eastAsia="Times New Roman" w:hAnsi="Times New Roman" w:cs="Times New Roman"/>
          <w:b/>
          <w:bCs/>
          <w:color w:val="0A0A0B"/>
          <w:sz w:val="66"/>
          <w:szCs w:val="66"/>
          <w:lang w:eastAsia="ru-RU"/>
        </w:rPr>
        <w:t xml:space="preserve"> и </w:t>
      </w:r>
      <w:proofErr w:type="spellStart"/>
      <w:r w:rsidRPr="00436763">
        <w:rPr>
          <w:rFonts w:ascii="Times New Roman" w:eastAsia="Times New Roman" w:hAnsi="Times New Roman" w:cs="Times New Roman"/>
          <w:b/>
          <w:bCs/>
          <w:color w:val="0A0A0B"/>
          <w:sz w:val="66"/>
          <w:szCs w:val="66"/>
          <w:lang w:eastAsia="ru-RU"/>
        </w:rPr>
        <w:t>Mastercard</w:t>
      </w:r>
      <w:proofErr w:type="spellEnd"/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Одна из новых схем в 2025 году — обман с «возвращением» 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Visa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 и 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Mastercard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. Жертвам приходят СМС от «банка» с предложением срочно пройти верификацию по ссылке, чтобы снова пользоваться зарубежными платежами. Ссылка ведет на поддельный сайт, который «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мимикрирует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» под официальный банковский ресурс. На нем невнимательная жертва вводит свои личные и платежные данные, после чего они попадают в руки преступников. Кроме того, через эти ссылки может быть установлен вредоносный софт, который позволит злоумышленникам получить контроль над устройством пользователя.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Чтобы сделать обман более правдоподобным, мошенники используют подмену номеров отправителей, часто прибегая к номерам, похожим на официальные банковские (например, они могут начинаться на +900). 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Роскачество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 </w:t>
      </w:r>
      <w:hyperlink r:id="rId5" w:tgtFrame="_blank" w:history="1">
        <w:r w:rsidRPr="00436763">
          <w:rPr>
            <w:rFonts w:ascii="Arial" w:eastAsia="Times New Roman" w:hAnsi="Arial" w:cs="Arial"/>
            <w:color w:val="2F67F9"/>
            <w:sz w:val="24"/>
            <w:szCs w:val="24"/>
            <w:u w:val="single"/>
            <w:lang w:eastAsia="ru-RU"/>
          </w:rPr>
          <w:t>обращает</w:t>
        </w:r>
      </w:hyperlink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 внимание, что официальной информации </w:t>
      </w: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lastRenderedPageBreak/>
        <w:t xml:space="preserve">о возобновлении работы платежных систем 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Visa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 и 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Mastercard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 в России на данный момент нет, а переходить по подозрительным ссылкам и вводить свои данные и тем более коды небезопасно.</w:t>
      </w:r>
    </w:p>
    <w:p w:rsidR="00436763" w:rsidRPr="00436763" w:rsidRDefault="00436763" w:rsidP="00436763">
      <w:pPr>
        <w:shd w:val="clear" w:color="auto" w:fill="FFFFFF"/>
        <w:spacing w:after="0" w:line="7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A0A0B"/>
          <w:sz w:val="66"/>
          <w:szCs w:val="66"/>
          <w:lang w:eastAsia="ru-RU"/>
        </w:rPr>
      </w:pPr>
      <w:r w:rsidRPr="00436763">
        <w:rPr>
          <w:rFonts w:ascii="Times New Roman" w:eastAsia="Times New Roman" w:hAnsi="Times New Roman" w:cs="Times New Roman"/>
          <w:b/>
          <w:bCs/>
          <w:color w:val="0A0A0B"/>
          <w:sz w:val="66"/>
          <w:szCs w:val="66"/>
          <w:lang w:eastAsia="ru-RU"/>
        </w:rPr>
        <w:t>Взлом аккаунтов на </w:t>
      </w:r>
      <w:proofErr w:type="spellStart"/>
      <w:r w:rsidRPr="00436763">
        <w:rPr>
          <w:rFonts w:ascii="Times New Roman" w:eastAsia="Times New Roman" w:hAnsi="Times New Roman" w:cs="Times New Roman"/>
          <w:b/>
          <w:bCs/>
          <w:color w:val="0A0A0B"/>
          <w:sz w:val="66"/>
          <w:szCs w:val="66"/>
          <w:lang w:eastAsia="ru-RU"/>
        </w:rPr>
        <w:t>Госуслугах</w:t>
      </w:r>
      <w:proofErr w:type="spellEnd"/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Мошенники разработали несколько хитроумных схем, чтобы получить доступ к учетным записям граждан на портале 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Госуслуги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. С помощью взлома аккаунтов они могут украсть конфиденциальные данные и оформить 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микрозаймы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 на имя жертвы.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Один из способов — звонки от имени оператора связи с просьбой продлить договор обслуживания номера и сообщить код из СМС, который на самом деле, как следует из текста того же СМС, предназначен для входа на портал 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Госуслуг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. Узнав код, злоумышленники получают доступ к учетной записи.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Другая схема связана с повторной продажей старых мобильных номеров. Если человек давно не использует номер, оператор может вернуть его в оборот. Мошенник приобретает такой номер и с помощью одноразового СМС-кода легко сбрасывает пароль к аккаунту жертвы на 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Госуслугах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 (так как учетная запись до сих пор привязана к старому номеру телефона). При этом настоящий владелец учетной записи остается в неведении и не замечает, что доступ уже перехвачен.</w:t>
      </w:r>
    </w:p>
    <w:p w:rsidR="00436763" w:rsidRPr="00436763" w:rsidRDefault="00436763" w:rsidP="00436763">
      <w:pPr>
        <w:shd w:val="clear" w:color="auto" w:fill="FFFFFF"/>
        <w:spacing w:after="12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Эта схема актуальна не только в отношении 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Госуслуг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: мошенники ищут различные онлайн-сервисы, к которым ранее был привязан купленный ими номер телефона, в том числе банковские. Даже если клиент давно не пользуется продуктами банка, но его номер по-прежнему там зарегистрирован, злоумышленники могут установить банковское приложение и оформить кредит на его имя.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Еще один вариант — поддельные уведомления от 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Госуслуг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, которые ведут на 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фишинговые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 сайты, звонки под видом сотрудников портала с предложением «усилить защиту аккаунта» и просьбой назвать коды доступа.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lastRenderedPageBreak/>
        <w:t>Также практикуется рассылка поддельных платежек ЖКХ с QR-кодами, ведущими на 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фейковые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 версии сайта, где пользователь вводит логин и пароль от учетной записи. QR-код может вести не только на 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фишинговый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 ресурс, но и на форму оплаты — в этом случае платеж идет напрямую на счет мошенника. Причем такие «платежки» могут приходить не только по электронной почте, но и в виде бумажных квитанций в почтовые ящики.</w:t>
      </w:r>
    </w:p>
    <w:p w:rsidR="00436763" w:rsidRPr="00436763" w:rsidRDefault="00436763" w:rsidP="00436763">
      <w:pPr>
        <w:shd w:val="clear" w:color="auto" w:fill="FFFFFF"/>
        <w:spacing w:after="0" w:line="780" w:lineRule="atLeast"/>
        <w:jc w:val="center"/>
        <w:outlineLvl w:val="1"/>
        <w:rPr>
          <w:rFonts w:ascii="Arial" w:eastAsia="Times New Roman" w:hAnsi="Arial" w:cs="Arial"/>
          <w:b/>
          <w:bCs/>
          <w:color w:val="0A0A0B"/>
          <w:sz w:val="66"/>
          <w:szCs w:val="66"/>
          <w:lang w:eastAsia="ru-RU"/>
        </w:rPr>
      </w:pPr>
      <w:r w:rsidRPr="00436763">
        <w:rPr>
          <w:rFonts w:ascii="Arial" w:eastAsia="Times New Roman" w:hAnsi="Arial" w:cs="Arial"/>
          <w:b/>
          <w:bCs/>
          <w:color w:val="0A0A0B"/>
          <w:sz w:val="66"/>
          <w:szCs w:val="66"/>
          <w:lang w:eastAsia="ru-RU"/>
        </w:rPr>
        <w:t>Кража денег с помощью NFC-модуля смартфона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Новый метод, который позволяет транслировать данные </w:t>
      </w:r>
      <w:hyperlink r:id="rId6" w:history="1">
        <w:r w:rsidRPr="00436763">
          <w:rPr>
            <w:rFonts w:ascii="Arial" w:eastAsia="Times New Roman" w:hAnsi="Arial" w:cs="Arial"/>
            <w:color w:val="2F67F9"/>
            <w:sz w:val="24"/>
            <w:szCs w:val="24"/>
            <w:u w:val="single"/>
            <w:lang w:eastAsia="ru-RU"/>
          </w:rPr>
          <w:t>карты</w:t>
        </w:r>
      </w:hyperlink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 при помощи NFC-модуля телефона. Мошенники звонят гражданам, представляясь сотрудниками банков, и предлагают установить обновленное приложение по предоставленной ссылке. Внешне приложение выглядит как официальное, однако при активации оно запрашивает ПИН-код от карты — что является нарушением политики безопасности финансовых учреждений. Так злоумышленники узнают ПИН-код от карты.</w:t>
      </w:r>
    </w:p>
    <w:p w:rsidR="00436763" w:rsidRPr="00436763" w:rsidRDefault="00436763" w:rsidP="00436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B"/>
          <w:sz w:val="24"/>
          <w:szCs w:val="24"/>
          <w:lang w:eastAsia="ru-RU"/>
        </w:rPr>
      </w:pPr>
      <w:r w:rsidRPr="00436763">
        <w:rPr>
          <w:rFonts w:ascii="Arial" w:eastAsia="Times New Roman" w:hAnsi="Arial" w:cs="Arial"/>
          <w:noProof/>
          <w:color w:val="0A0A0B"/>
          <w:sz w:val="24"/>
          <w:szCs w:val="24"/>
          <w:lang w:eastAsia="ru-RU"/>
        </w:rPr>
        <w:drawing>
          <wp:inline distT="0" distB="0" distL="0" distR="0" wp14:anchorId="4BE1F76F" wp14:editId="5555D634">
            <wp:extent cx="6067045" cy="1995738"/>
            <wp:effectExtent l="0" t="0" r="0" b="5080"/>
            <wp:docPr id="3" name="Рисунок 3" descr="https://cdn.gpb.ru/upload/files/iblock/364/fqipohudvny4y86u56p5pfvaqglf1eka/x1_inside_2432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gpb.ru/upload/files/iblock/364/fqipohudvny4y86u56p5pfvaqglf1eka/x1_inside_2432x8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804" cy="200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Однако это только начало схемы. Далее «оператор» банка просит провести «верификацию» и поднести банковскую карту к NFC-модулю смартфона. На деле же 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фейковое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 банковское приложение считывает данные с карты и отправляет их на телефон мошенника, далее данные передаются на считыватель банкомата. Как итог — преступник может обналичить средства, не имея доступа к физической карте, а используя передаваемый через устройство сигнал как 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радиоудлинитель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 между картой и банкоматом.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lastRenderedPageBreak/>
        <w:t>Существует и обратная схема, при которой программное обеспечение, установленное у жертвы и мошенника, меняется ролями. Жертве сообщают, что нужно внести средства на «безопасный счет». Она подходит к банкомату, в этот момент мошенник подносит свою карту к своему телефону, информация с карты передается на телефон жертвы. Жертве диктуется ПИН-код, и, полагая, что операция проводится с ее картой, она вносит наличные. На самом деле деньги зачисляются на карту злоумышленника.</w:t>
      </w:r>
    </w:p>
    <w:p w:rsidR="00436763" w:rsidRPr="00436763" w:rsidRDefault="00436763" w:rsidP="00436763">
      <w:pPr>
        <w:shd w:val="clear" w:color="auto" w:fill="FFFFFF"/>
        <w:spacing w:after="0" w:line="780" w:lineRule="atLeast"/>
        <w:jc w:val="center"/>
        <w:outlineLvl w:val="1"/>
        <w:rPr>
          <w:rFonts w:ascii="Arial" w:eastAsia="Times New Roman" w:hAnsi="Arial" w:cs="Arial"/>
          <w:b/>
          <w:bCs/>
          <w:color w:val="0A0A0B"/>
          <w:sz w:val="66"/>
          <w:szCs w:val="66"/>
          <w:lang w:eastAsia="ru-RU"/>
        </w:rPr>
      </w:pPr>
      <w:r w:rsidRPr="00436763">
        <w:rPr>
          <w:rFonts w:ascii="Arial" w:eastAsia="Times New Roman" w:hAnsi="Arial" w:cs="Arial"/>
          <w:b/>
          <w:bCs/>
          <w:color w:val="0A0A0B"/>
          <w:sz w:val="66"/>
          <w:szCs w:val="66"/>
          <w:lang w:eastAsia="ru-RU"/>
        </w:rPr>
        <w:t>Мошенничество с налоговыми вычетами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Существуют и новые схемы, связанные с налоговыми вычетами. Мошенники звонят гражданам, представляясь сотрудниками Федеральной налоговой службы (ФНС). Они убеждают граждан оформить налоговый вычет, для чего просят открыть новую банковскую карту (иногда кредитную) и заполнить заявление на оформление налогового вычета на «сайте» ведомства. Так они выманивают платежные данные, под разными предлогами просят пополнить счет, а затем похищают средства.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Для повышения доверия злоумышленники используют 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фишинговые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 сайты, которые выглядят как официальные ресурсы государственных органов. Также они могут предлагать оформить карту для получения других выплат, таких как пособия по безработице или 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кэшбэк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, что делает схему еще более заманчивой.</w:t>
      </w:r>
    </w:p>
    <w:p w:rsidR="00436763" w:rsidRPr="00436763" w:rsidRDefault="00436763" w:rsidP="00436763">
      <w:pPr>
        <w:shd w:val="clear" w:color="auto" w:fill="FFFFFF"/>
        <w:spacing w:after="0" w:line="780" w:lineRule="atLeast"/>
        <w:jc w:val="center"/>
        <w:outlineLvl w:val="1"/>
        <w:rPr>
          <w:rFonts w:ascii="Arial" w:eastAsia="Times New Roman" w:hAnsi="Arial" w:cs="Arial"/>
          <w:b/>
          <w:bCs/>
          <w:color w:val="0A0A0B"/>
          <w:sz w:val="66"/>
          <w:szCs w:val="66"/>
          <w:lang w:eastAsia="ru-RU"/>
        </w:rPr>
      </w:pPr>
      <w:r w:rsidRPr="00436763">
        <w:rPr>
          <w:rFonts w:ascii="Arial" w:eastAsia="Times New Roman" w:hAnsi="Arial" w:cs="Arial"/>
          <w:b/>
          <w:bCs/>
          <w:color w:val="0A0A0B"/>
          <w:sz w:val="66"/>
          <w:szCs w:val="66"/>
          <w:lang w:eastAsia="ru-RU"/>
        </w:rPr>
        <w:t>Как защититься от новых схем мошенничества</w:t>
      </w:r>
      <w:bookmarkStart w:id="0" w:name="_GoBack"/>
      <w:bookmarkEnd w:id="0"/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Arial" w:eastAsia="Times New Roman" w:hAnsi="Arial" w:cs="Arial"/>
          <w:b/>
          <w:bCs/>
          <w:color w:val="0A0A0B"/>
          <w:sz w:val="27"/>
          <w:szCs w:val="27"/>
          <w:lang w:eastAsia="ru-RU"/>
        </w:rPr>
        <w:t>Никогда не называйте «операторам» никаких кодов</w:t>
      </w: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, не вводите на непроверенных или сомнительных ресурсах данные своих банковских карт или учетных записей и тем более не соглашайтесь скачивать приложения или переходить по ссылкам, которые вам направляют с незнакомого адреса.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Arial" w:eastAsia="Times New Roman" w:hAnsi="Arial" w:cs="Arial"/>
          <w:b/>
          <w:bCs/>
          <w:color w:val="0A0A0B"/>
          <w:sz w:val="27"/>
          <w:szCs w:val="27"/>
          <w:lang w:eastAsia="ru-RU"/>
        </w:rPr>
        <w:lastRenderedPageBreak/>
        <w:t>Не переходите по ссылкам из сообщений</w:t>
      </w: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 в мессенджерах или из электронных писем от незнакомых отправителей, а также не вводите личные данные на неизвестных сайтах.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Arial" w:eastAsia="Times New Roman" w:hAnsi="Arial" w:cs="Arial"/>
          <w:b/>
          <w:bCs/>
          <w:color w:val="0A0A0B"/>
          <w:sz w:val="27"/>
          <w:szCs w:val="27"/>
          <w:lang w:eastAsia="ru-RU"/>
        </w:rPr>
        <w:t>Настройте двухфакторную аутентификацию</w:t>
      </w: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 (2FA) для всех сервисов, которые это позволяют, что особенно актуально для 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Госуслуг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, а также почтовых и банковских приложений.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Arial" w:eastAsia="Times New Roman" w:hAnsi="Arial" w:cs="Arial"/>
          <w:b/>
          <w:bCs/>
          <w:color w:val="0A0A0B"/>
          <w:sz w:val="27"/>
          <w:szCs w:val="27"/>
          <w:lang w:eastAsia="ru-RU"/>
        </w:rPr>
        <w:t>Приучите себя читать СМС-сообщение</w:t>
      </w: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, прежде чем вводить куда-либо содержащийся в нем код, и сопоставлять его с тем действием или операцией, которые собираетесь подтвердить. Так вы сможете уберечь себя от того, чтобы быть обманутыми.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Arial" w:eastAsia="Times New Roman" w:hAnsi="Arial" w:cs="Arial"/>
          <w:b/>
          <w:bCs/>
          <w:color w:val="0A0A0B"/>
          <w:sz w:val="27"/>
          <w:szCs w:val="27"/>
          <w:lang w:eastAsia="ru-RU"/>
        </w:rPr>
        <w:t>Установите запрет на оформление кредитов</w:t>
      </w: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 и 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микрозаймов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 xml:space="preserve"> через портал </w:t>
      </w:r>
      <w:proofErr w:type="spell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Госуслуги</w:t>
      </w:r>
      <w:proofErr w:type="spellEnd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. Это поможет предотвратить несанкционированное оформление займов от вашего имени.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Наконец, всегда </w:t>
      </w:r>
      <w:r w:rsidRPr="00436763">
        <w:rPr>
          <w:rFonts w:ascii="Arial" w:eastAsia="Times New Roman" w:hAnsi="Arial" w:cs="Arial"/>
          <w:b/>
          <w:bCs/>
          <w:color w:val="0A0A0B"/>
          <w:sz w:val="27"/>
          <w:szCs w:val="27"/>
          <w:lang w:eastAsia="ru-RU"/>
        </w:rPr>
        <w:t>скачивайте приложения только из официальных источников</w:t>
      </w: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.</w:t>
      </w:r>
    </w:p>
    <w:p w:rsidR="00436763" w:rsidRPr="00436763" w:rsidRDefault="00436763" w:rsidP="0043676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</w:pPr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Хотите узнать больше, как защитить свои деньги от новых схем? Газпромбанк подготовил подробные и понятные рекомендации по финансовой безопасности — от распознавания хитроумных методов обмана до практических советов по защите ваших карт и </w:t>
      </w:r>
      <w:proofErr w:type="gramStart"/>
      <w:r w:rsidRPr="00436763">
        <w:rPr>
          <w:rFonts w:ascii="Helvetica" w:eastAsia="Times New Roman" w:hAnsi="Helvetica" w:cs="Helvetica"/>
          <w:color w:val="0A0A0B"/>
          <w:sz w:val="27"/>
          <w:szCs w:val="27"/>
          <w:lang w:eastAsia="ru-RU"/>
        </w:rPr>
        <w:t>аккаунтов.​</w:t>
      </w:r>
      <w:proofErr w:type="gramEnd"/>
    </w:p>
    <w:p w:rsidR="00C704B4" w:rsidRDefault="00C704B4"/>
    <w:sectPr w:rsidR="00C7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7D"/>
    <w:rsid w:val="00436763"/>
    <w:rsid w:val="00476D7D"/>
    <w:rsid w:val="00C7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90FC7-FC5B-459B-BF51-AC075463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4489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74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9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2B5EE3"/>
                            <w:left w:val="single" w:sz="24" w:space="0" w:color="2B5EE3"/>
                            <w:bottom w:val="single" w:sz="24" w:space="0" w:color="2B5EE3"/>
                            <w:right w:val="single" w:sz="24" w:space="0" w:color="2B5EE3"/>
                          </w:divBdr>
                        </w:div>
                        <w:div w:id="6644062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9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654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B5EE3"/>
                        <w:left w:val="single" w:sz="24" w:space="0" w:color="2B5EE3"/>
                        <w:bottom w:val="single" w:sz="2" w:space="0" w:color="2B5EE3"/>
                        <w:right w:val="single" w:sz="2" w:space="0" w:color="2B5E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zprombank.ru/personal/cards/" TargetMode="External"/><Relationship Id="rId5" Type="http://schemas.openxmlformats.org/officeDocument/2006/relationships/hyperlink" Target="https://rskrf.ru/news/visa-ia-back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1035</Words>
  <Characters>5904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2025-11-25T07:25:00Z</dcterms:created>
  <dcterms:modified xsi:type="dcterms:W3CDTF">2025-11-25T07:33:00Z</dcterms:modified>
</cp:coreProperties>
</file>