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B7" w:rsidRDefault="00F221B7" w:rsidP="00F221B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РЕШЕНИЕ </w:t>
      </w:r>
    </w:p>
    <w:p w:rsidR="00B06831" w:rsidRPr="000F453D" w:rsidRDefault="00B06831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Совет</w:t>
      </w:r>
      <w:r w:rsidR="00F221B7">
        <w:rPr>
          <w:rFonts w:ascii="Times New Roman" w:eastAsia="Times New Roman" w:hAnsi="Times New Roman" w:cs="Times New Roman"/>
          <w:sz w:val="28"/>
          <w:szCs w:val="20"/>
        </w:rPr>
        <w:t>а Верхнеколчуринского</w:t>
      </w:r>
      <w:r w:rsidR="008E00F5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</w:t>
      </w:r>
    </w:p>
    <w:p w:rsidR="00B06831" w:rsidRPr="000F453D" w:rsidRDefault="00B06831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Алькеевского</w:t>
      </w:r>
      <w:r w:rsidRPr="000F453D">
        <w:rPr>
          <w:rFonts w:ascii="Times New Roman" w:eastAsia="Times New Roman" w:hAnsi="Times New Roman" w:cs="Times New Roman"/>
          <w:sz w:val="28"/>
          <w:szCs w:val="20"/>
        </w:rPr>
        <w:t xml:space="preserve">  муниципального района</w:t>
      </w:r>
    </w:p>
    <w:p w:rsidR="00B06831" w:rsidRPr="000F453D" w:rsidRDefault="00B06831" w:rsidP="00B0683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Республики Татарстан</w:t>
      </w:r>
    </w:p>
    <w:p w:rsidR="00D5014B" w:rsidRDefault="00F221B7" w:rsidP="00D5014B">
      <w:pPr>
        <w:tabs>
          <w:tab w:val="left" w:pos="7938"/>
        </w:tabs>
        <w:spacing w:after="300" w:line="240" w:lineRule="auto"/>
        <w:ind w:right="2552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№    4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от 17</w:t>
      </w:r>
      <w:r w:rsidR="00645AE4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2017 года</w:t>
      </w:r>
    </w:p>
    <w:p w:rsidR="00470459" w:rsidRPr="008E00F5" w:rsidRDefault="00470459" w:rsidP="008E00F5">
      <w:pPr>
        <w:tabs>
          <w:tab w:val="left" w:pos="2835"/>
        </w:tabs>
        <w:spacing w:after="0" w:line="240" w:lineRule="auto"/>
        <w:ind w:right="3686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Об утверждении Положения </w:t>
      </w:r>
      <w:r w:rsidR="00D5014B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«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О порядке передачи имущества, находящегося в муниципальной собственности</w:t>
      </w:r>
      <w:r w:rsidR="00F221B7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Верхнеколчуринского </w:t>
      </w:r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Алькеевского  муниципального района 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в муниципальную собственность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Алькеевского муниципального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район</w:t>
      </w:r>
      <w:r w:rsid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а Республики Татарстан</w:t>
      </w:r>
    </w:p>
    <w:p w:rsidR="00D5014B" w:rsidRDefault="00D5014B" w:rsidP="004704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</w:pPr>
    </w:p>
    <w:p w:rsidR="00470459" w:rsidRPr="008E00F5" w:rsidRDefault="00470459" w:rsidP="008E00F5">
      <w:pPr>
        <w:tabs>
          <w:tab w:val="left" w:pos="2835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еральным законом от 06.10.2003 № 131-ФЗ 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пунктом 11 статьи 154 Федерального закона от 22.08.2004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122-ФЗ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и дополнений в Федеральный закон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(представительных) и исполнительных органов государственной власти субъектов Российской Федерации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Совет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="008E00F5">
        <w:rPr>
          <w:rFonts w:ascii="Times New Roman" w:eastAsia="Times New Roman" w:hAnsi="Times New Roman" w:cs="Times New Roman"/>
          <w:sz w:val="28"/>
          <w:szCs w:val="20"/>
        </w:rPr>
        <w:t>сельского поселения Алькеевского</w:t>
      </w:r>
      <w:r w:rsidR="008E00F5" w:rsidRPr="000F453D">
        <w:rPr>
          <w:rFonts w:ascii="Times New Roman" w:eastAsia="Times New Roman" w:hAnsi="Times New Roman" w:cs="Times New Roman"/>
          <w:sz w:val="28"/>
          <w:szCs w:val="20"/>
        </w:rPr>
        <w:t xml:space="preserve">  муниципального района</w:t>
      </w:r>
      <w:r w:rsidR="008E00F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B06831" w:rsidRPr="00B06831" w:rsidRDefault="00470459" w:rsidP="008E00F5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ind w:left="0" w:right="142" w:firstLine="567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B06831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Утвердить Положение </w:t>
      </w:r>
      <w:r w:rsidR="00D5014B" w:rsidRPr="00B06831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 xml:space="preserve">«О порядке передачи имущества, находящегося в муниципальной собственности </w:t>
      </w:r>
      <w:r w:rsidR="00F221B7">
        <w:rPr>
          <w:rFonts w:ascii="Times New Roman" w:eastAsia="Times New Roman" w:hAnsi="Times New Roman" w:cs="Times New Roman"/>
          <w:sz w:val="28"/>
          <w:szCs w:val="20"/>
        </w:rPr>
        <w:t>Верхнеколчуринского</w:t>
      </w:r>
      <w:r w:rsidR="008E00F5" w:rsidRPr="008E00F5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</w:t>
      </w:r>
      <w:r w:rsidR="008E00F5" w:rsidRPr="008E00F5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sz w:val="28"/>
          <w:szCs w:val="20"/>
        </w:rPr>
        <w:t xml:space="preserve">Алькеевского  муниципального района </w:t>
      </w:r>
      <w:r w:rsidR="008E00F5" w:rsidRPr="008E00F5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>в муниципальную собственность Алькеевского муниципального района Республики Татарстан</w:t>
      </w:r>
      <w:r w:rsidR="008E00F5">
        <w:rPr>
          <w:rFonts w:ascii="Times New Roman" w:eastAsia="Times New Roman" w:hAnsi="Times New Roman" w:cs="Times New Roman"/>
          <w:bCs/>
          <w:color w:val="1F1E1E"/>
          <w:kern w:val="36"/>
          <w:sz w:val="28"/>
          <w:szCs w:val="28"/>
          <w:lang w:eastAsia="ru-RU"/>
        </w:rPr>
        <w:t>»</w:t>
      </w:r>
      <w:r w:rsidR="008E00F5" w:rsidRPr="00B06831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 xml:space="preserve"> </w:t>
      </w:r>
      <w:r w:rsidRPr="00B06831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согласно приложению.</w:t>
      </w:r>
      <w:bookmarkStart w:id="1" w:name="sub_3"/>
    </w:p>
    <w:bookmarkEnd w:id="1"/>
    <w:p w:rsidR="008E00F5" w:rsidRPr="00D83569" w:rsidRDefault="008E00F5" w:rsidP="008E00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решение на официальном сайте Алькеевского муниципального района Республики Татарстан в информационно - телекоммуникационной сети «Интернет».</w:t>
      </w:r>
    </w:p>
    <w:p w:rsidR="008E00F5" w:rsidRPr="00D83569" w:rsidRDefault="008E00F5" w:rsidP="008E00F5">
      <w:pPr>
        <w:tabs>
          <w:tab w:val="left" w:pos="3870"/>
        </w:tabs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F221B7">
        <w:rPr>
          <w:rFonts w:ascii="Times New Roman" w:hAnsi="Times New Roman" w:cs="Times New Roman"/>
          <w:color w:val="000000"/>
          <w:sz w:val="28"/>
          <w:szCs w:val="28"/>
        </w:rPr>
        <w:t xml:space="preserve">Верхнеколчуринского </w:t>
      </w:r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Алькеевского муниципального  района,                                                             </w:t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8356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F221B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Е.В. Краснова</w:t>
      </w:r>
    </w:p>
    <w:p w:rsidR="008E00F5" w:rsidRPr="00D83569" w:rsidRDefault="008E00F5" w:rsidP="008E00F5">
      <w:pPr>
        <w:spacing w:after="0" w:line="2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E00F5" w:rsidRPr="00232AFA" w:rsidRDefault="008E00F5" w:rsidP="008E00F5">
      <w:pPr>
        <w:spacing w:after="0" w:line="20" w:lineRule="atLeast"/>
        <w:ind w:firstLine="567"/>
        <w:rPr>
          <w:color w:val="000000"/>
          <w:sz w:val="28"/>
          <w:szCs w:val="28"/>
        </w:rPr>
      </w:pPr>
    </w:p>
    <w:p w:rsidR="008E00F5" w:rsidRPr="00232AFA" w:rsidRDefault="008E00F5" w:rsidP="008E00F5">
      <w:pPr>
        <w:spacing w:after="0" w:line="20" w:lineRule="atLeast"/>
        <w:ind w:firstLine="567"/>
        <w:rPr>
          <w:color w:val="000000"/>
          <w:sz w:val="28"/>
          <w:szCs w:val="28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</w:p>
    <w:p w:rsidR="008E00F5" w:rsidRPr="00D83569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 w:rsidRPr="00D83569">
        <w:rPr>
          <w:rFonts w:ascii="Times New Roman" w:hAnsi="Times New Roman" w:cs="Times New Roman"/>
          <w:color w:val="000000"/>
        </w:rPr>
        <w:t xml:space="preserve">Утверждено  решением </w:t>
      </w:r>
    </w:p>
    <w:p w:rsidR="008E00F5" w:rsidRPr="00D83569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 w:rsidRPr="00D83569">
        <w:rPr>
          <w:rFonts w:ascii="Times New Roman" w:hAnsi="Times New Roman" w:cs="Times New Roman"/>
          <w:color w:val="000000"/>
        </w:rPr>
        <w:t>Совета</w:t>
      </w:r>
      <w:r w:rsidR="00F221B7">
        <w:rPr>
          <w:rFonts w:ascii="Times New Roman" w:hAnsi="Times New Roman" w:cs="Times New Roman"/>
          <w:color w:val="000000"/>
        </w:rPr>
        <w:t xml:space="preserve"> Верхнеколчуринского</w:t>
      </w:r>
      <w:r w:rsidRPr="00D83569">
        <w:rPr>
          <w:rFonts w:ascii="Times New Roman" w:hAnsi="Times New Roman" w:cs="Times New Roman"/>
          <w:b/>
          <w:color w:val="000000"/>
        </w:rPr>
        <w:t xml:space="preserve"> </w:t>
      </w:r>
      <w:r w:rsidRPr="00D83569">
        <w:rPr>
          <w:rFonts w:ascii="Times New Roman" w:hAnsi="Times New Roman" w:cs="Times New Roman"/>
          <w:color w:val="000000"/>
        </w:rPr>
        <w:t>сельского поселения</w:t>
      </w:r>
      <w:r w:rsidRPr="00D83569">
        <w:rPr>
          <w:rFonts w:ascii="Times New Roman" w:hAnsi="Times New Roman" w:cs="Times New Roman"/>
          <w:b/>
          <w:color w:val="000000"/>
        </w:rPr>
        <w:t xml:space="preserve"> </w:t>
      </w:r>
      <w:r w:rsidRPr="00D83569">
        <w:rPr>
          <w:rFonts w:ascii="Times New Roman" w:hAnsi="Times New Roman" w:cs="Times New Roman"/>
          <w:color w:val="000000"/>
        </w:rPr>
        <w:t>Алькеевского</w:t>
      </w: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 w:rsidRPr="00D83569">
        <w:rPr>
          <w:rFonts w:ascii="Times New Roman" w:hAnsi="Times New Roman" w:cs="Times New Roman"/>
          <w:color w:val="000000"/>
        </w:rPr>
        <w:t>муниципального района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8E00F5" w:rsidRDefault="008E00F5" w:rsidP="008E00F5">
      <w:pPr>
        <w:spacing w:after="0" w:line="20" w:lineRule="atLeast"/>
        <w:ind w:left="5954"/>
        <w:rPr>
          <w:rFonts w:ascii="Times New Roman" w:hAnsi="Times New Roman" w:cs="Times New Roman"/>
          <w:color w:val="000000"/>
        </w:rPr>
      </w:pPr>
      <w:r w:rsidRPr="00D83569">
        <w:rPr>
          <w:rFonts w:ascii="Times New Roman" w:hAnsi="Times New Roman" w:cs="Times New Roman"/>
          <w:color w:val="000000"/>
        </w:rPr>
        <w:t>от «</w:t>
      </w:r>
      <w:r w:rsidR="00F221B7">
        <w:rPr>
          <w:rFonts w:ascii="Times New Roman" w:hAnsi="Times New Roman" w:cs="Times New Roman"/>
          <w:color w:val="000000"/>
        </w:rPr>
        <w:t>17</w:t>
      </w:r>
      <w:r w:rsidRPr="00D83569">
        <w:rPr>
          <w:rFonts w:ascii="Times New Roman" w:hAnsi="Times New Roman" w:cs="Times New Roman"/>
          <w:color w:val="000000"/>
        </w:rPr>
        <w:t>»</w:t>
      </w:r>
      <w:r w:rsidR="00F221B7">
        <w:rPr>
          <w:rFonts w:ascii="Times New Roman" w:hAnsi="Times New Roman" w:cs="Times New Roman"/>
          <w:color w:val="000000"/>
        </w:rPr>
        <w:t xml:space="preserve"> марта</w:t>
      </w:r>
      <w:r w:rsidRPr="00D83569">
        <w:rPr>
          <w:rFonts w:ascii="Times New Roman" w:hAnsi="Times New Roman" w:cs="Times New Roman"/>
          <w:color w:val="000000"/>
        </w:rPr>
        <w:t xml:space="preserve">   2017 г. № </w:t>
      </w:r>
      <w:r w:rsidR="00F221B7">
        <w:rPr>
          <w:rFonts w:ascii="Times New Roman" w:hAnsi="Times New Roman" w:cs="Times New Roman"/>
          <w:color w:val="000000"/>
        </w:rPr>
        <w:t xml:space="preserve"> 4</w:t>
      </w:r>
    </w:p>
    <w:p w:rsidR="00B06831" w:rsidRDefault="00B06831" w:rsidP="008E00F5">
      <w:pPr>
        <w:shd w:val="clear" w:color="auto" w:fill="FFFFFF"/>
        <w:tabs>
          <w:tab w:val="left" w:pos="0"/>
        </w:tabs>
        <w:spacing w:after="0" w:line="20" w:lineRule="atLeast"/>
        <w:ind w:right="12"/>
        <w:rPr>
          <w:rFonts w:ascii="Times New Roman" w:hAnsi="Times New Roman" w:cs="Times New Roman"/>
          <w:sz w:val="28"/>
          <w:szCs w:val="28"/>
        </w:rPr>
      </w:pPr>
    </w:p>
    <w:p w:rsidR="00B06831" w:rsidRDefault="00B06831" w:rsidP="008E00F5">
      <w:pPr>
        <w:shd w:val="clear" w:color="auto" w:fill="FFFFFF"/>
        <w:spacing w:after="0" w:line="20" w:lineRule="atLeast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B06831" w:rsidRDefault="00470459" w:rsidP="008E00F5">
      <w:pPr>
        <w:shd w:val="clear" w:color="auto" w:fill="FFFFFF"/>
        <w:spacing w:after="0" w:line="20" w:lineRule="atLeast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70459" w:rsidRPr="008E00F5" w:rsidRDefault="00B06831" w:rsidP="00B06831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</w:pPr>
      <w:r w:rsidRPr="008E00F5">
        <w:rPr>
          <w:rFonts w:ascii="Times New Roman" w:eastAsia="Times New Roman" w:hAnsi="Times New Roman" w:cs="Times New Roman"/>
          <w:b/>
          <w:color w:val="1F1E1E"/>
          <w:sz w:val="28"/>
          <w:szCs w:val="28"/>
          <w:lang w:eastAsia="ru-RU"/>
        </w:rPr>
        <w:t xml:space="preserve">Положение 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«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О порядке передачи имущества, находящегося в муниципальной собственности </w:t>
      </w:r>
      <w:r w:rsidR="00F221B7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Верхнеколчуринского</w:t>
      </w:r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b/>
          <w:sz w:val="28"/>
          <w:szCs w:val="20"/>
        </w:rPr>
        <w:t xml:space="preserve">Алькеевского  муниципального района 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в муниципальную собственность Алькеевского муниципального района Республики Татарстан</w:t>
      </w:r>
      <w:r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>»</w:t>
      </w:r>
    </w:p>
    <w:p w:rsidR="00B06831" w:rsidRDefault="00B06831" w:rsidP="00B06831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</w:pPr>
    </w:p>
    <w:p w:rsidR="00B06831" w:rsidRPr="00B06831" w:rsidRDefault="00B06831" w:rsidP="00B06831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459" w:rsidRPr="00F230EB" w:rsidRDefault="00470459" w:rsidP="00F230EB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определяет порядок передачи муниципального имущества, являющегося муниципальной собственностью муниципального образования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221B7" w:rsidRPr="00F221B7">
        <w:rPr>
          <w:rFonts w:ascii="Times New Roman" w:eastAsia="Times New Roman" w:hAnsi="Times New Roman" w:cs="Times New Roman"/>
          <w:sz w:val="28"/>
          <w:szCs w:val="20"/>
        </w:rPr>
        <w:t>Верхнеколчуринское</w:t>
      </w:r>
      <w:r w:rsidR="008E00F5" w:rsidRPr="00F221B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E00F5" w:rsidRPr="008E00F5">
        <w:rPr>
          <w:rFonts w:ascii="Times New Roman" w:eastAsia="Times New Roman" w:hAnsi="Times New Roman" w:cs="Times New Roman"/>
          <w:sz w:val="28"/>
          <w:szCs w:val="20"/>
        </w:rPr>
        <w:t>сельское поселение</w:t>
      </w:r>
      <w:r w:rsidR="008E00F5" w:rsidRPr="008E00F5">
        <w:rPr>
          <w:rFonts w:ascii="Times New Roman" w:eastAsia="Times New Roman" w:hAnsi="Times New Roman" w:cs="Times New Roman"/>
          <w:b/>
          <w:bCs/>
          <w:color w:val="1F1E1E"/>
          <w:kern w:val="36"/>
          <w:sz w:val="28"/>
          <w:szCs w:val="28"/>
          <w:lang w:eastAsia="ru-RU"/>
        </w:rPr>
        <w:t xml:space="preserve">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«Алькеевский муниципальный район»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включающий в себя принципы, с учетом которых осуществляется передача муниципального имущества, организацию взаимодействия органов местного самоуправления по передаче имущества, процедуру передачи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 муниципального имущества, являющегося муниципальной собственностью 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целях обеспечения законности в использовании отдельных видов имущества муниципальными образованиями, сохранности, развития, эффективного функционирования и использования объектов муниципального имущества в интересах населения, проживающего в муниципальных образованиях, для наиболее полного материального обеспечения исполнения возложенных на органы местного самоуправления муниципального </w:t>
      </w:r>
      <w:r w:rsidRPr="00E8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поселений полномочий по решению вопросов местного значения, а также </w:t>
      </w:r>
      <w:hyperlink r:id="rId6" w:history="1">
        <w:r w:rsidRPr="00E872C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Уставом</w:t>
        </w:r>
      </w:hyperlink>
      <w:r w:rsidR="00F22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Верхнеколчуринского</w:t>
      </w:r>
      <w:r w:rsidR="008E00F5" w:rsidRPr="00E8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06831" w:rsidRPr="00E8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Pr="00E8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Положение разработано с учетом положений статьи 85 Федерального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от 6 октября 2003 года № 131-ФЗ 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0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и дополнениями) о необходимости перераспределения имущества между органами местного самоуправления для обеспечения решения вопросов местного значения муниципальных образований, определенных указанным Законом.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Передача имущества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следующих принципах, определенных Федеральным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6 октября 2003 года 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и дополнениями):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соответствие целевого назначения передаваемого имущества перечню вопросов местного значения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видов передаваемого имущества установленным перечням видов имущества, которое может находиться в собственности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возможность организационного и (или) технологического обособления передаваемого имущества от муниципального имущества, которое не подлежит передаче в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передачи имущества по его фактическому состоянию без установления каких-либо условий,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передачи имущества на безвозмездной основе.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F230EB" w:rsidRDefault="00470459" w:rsidP="00F230EB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Подготовка имущества к передаче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«Палата имущественных и земельных отношений» Алькеевского муниципального района Республики Татарстан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составляет предварительные списки муниципального имущества, которое в соответствии с положениями статьи 14 Федерального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от 6 октября 2003 года 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 (с изменениями и дополнениями) необходимо для решения вопросов местного значения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предварительные списки).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предварительных списков учитываются принципы, указанные в пункте 1.3 настоящего Положения.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предварительных списков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запрашивать необходимую информацию от органов местного самоуправления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которые возложена координация и регулирование деятельности в соответствующей отрасли (далее - отраслевые органы). Отраслевые органы обязаны незамедлительно представлять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требуемую для составления предварительных списков информацию. В ходе данной работы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 предложения, исходящие от органов местного самоуправления.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Предварительные списки включают в себя следующие разделы: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подлежащее передаче имущество (должен содержать перечень отдельных объектов недвижимого и движимого имущества, , а также объектов, закрепленных за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сельскими поселениями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однако подлежащих передаче для решения вопросов местного значения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отношении муниципального имущества, включенного в предварительные списки,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проведение следующей подготовительн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работы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Уточнение состава объектов, учтенных в реестре муниципального имущества, включающее в себя: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выяснение обстоятельств, послуживших основанием для включения объектов в реестр (в целях осуществления в последующем государственной регистрации перехода имущественных прав на них);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проведения технической инвентаризации недвижимого имущества (в отношении тех объектов, технические паспорта на которые отсутствуют или срок действия технических паспортов (5 лет) на которые истек);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уточнение характеристик включенного в реестр муниципального имущества (в том числе и на основании данных технических паспортов);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выяснение всех имеющихся обременений объектов.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Оформление имущественных прав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объекты недвижимого имущества (в том числе обеспечение проведения государственной регистрации имущественных прав на объекты, права на которые возникли после 31 января 1998 года, то есть после вступления в силу Федерального закона от 21 июля 1997 года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122-ФЗ "О государственной регистрации прав на недвижимое имущество и сделок с ним").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При необходимости оформление документов, удостоверяющих право пользования земельными участками, расположенными под объектами недвижимого имущества, предоставленными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сельскому поселению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уточнения информации соответствующие изменения вносятся в предварительные списки.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передаче подлежит муниципальное имущество, которое закреплено на ограниченном вещном праве (оперативного управления или хозяйственного ведения) за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сельским поселением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запрашивает у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 по вопросу передачи имущества в муниципальную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</w:p>
    <w:p w:rsidR="00470459" w:rsidRPr="00D5014B" w:rsidRDefault="006961B7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в письменном виде представить свое мнение по поводу передачи имущества (если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соглас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передачей имущества, то данную позицию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обосновать).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Для осуществления передачи отдельных объектов нед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вижимого и движимого имущества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следующий пакет документов: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каждому объекту недвижимого имущества - копии технического паспорта, свидетельства о государственной регистрации права муниципальной собственности (на те объекты, право собственности на которые возникло после 31 января 1998 года), документов, подтверждающих предоставление земельного участка;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каждому автотранспортному средству - копия паспорта транспортного средства;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каждому объекту имущества - копии документов, подтверждающих имеющиеся обременения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F230EB" w:rsidRDefault="00470459" w:rsidP="00F230EB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Процедура передачи муниципального имущества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Передача муниципального имущества осуществляется на основании: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Совета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Перечня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подлежащей передаче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приема-передачи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подписываемых от имени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имени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Проекты решений 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Перечня 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</w:t>
      </w:r>
      <w:r w:rsidR="00F2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подлежащей передаче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230EB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готовятся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Проекты решений подлежат обязательному согласованию с соответствующими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отраслевыми органами, а также с финансовым органом. Внесение проекта решения на рассмотрение Совета 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6961B7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="000228AA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порядке, установленном </w:t>
      </w:r>
      <w:hyperlink r:id="rId7" w:history="1">
        <w:r w:rsidRPr="000228A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регламентом</w:t>
        </w:r>
      </w:hyperlink>
      <w:r w:rsidRPr="000228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Верхнеколчуринского</w:t>
      </w:r>
      <w:r w:rsidR="00696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проекту решения прилагается весь пакет документов, собранных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п. 2.6 настоящего Положения.</w:t>
      </w:r>
    </w:p>
    <w:p w:rsidR="00470459" w:rsidRPr="00D5014B" w:rsidRDefault="00470459" w:rsidP="00CA40C4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решений включаю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себя перечни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 передаче отдельных объектов недвижимого и движимого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Перечни имущества должны содержать все индивидуализирующие признаки передаваемого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достоверность данных, включаемых в перечни передаваемого имущества, несет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утверждении перечней передаваемого имущества не допускается установление каких-либо условий передачи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Проекты актов приема-передачи готовятся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месячный срок со дня принятия решения Советом 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A40C4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</w:t>
      </w:r>
      <w:r w:rsidR="000228AA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представляются на подпись Г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лаве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A40C4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Алькеевского муниципального района.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составляются акты приема-передачи по передаче отдельных объектов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представление от имени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Верхнеколчуринского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A40C4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документов и оказание помощи в проведении государственной регистрации перехода права собственности к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переданные объекты недвижимого имущества.</w:t>
      </w:r>
    </w:p>
    <w:p w:rsidR="00470459" w:rsidRPr="00D5014B" w:rsidRDefault="000228AA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контроль за представлением в Управление Федеральной регистрационной службы документов, необходимых для проведения государственной регистрации прав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470459"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принятое недвижимое имущество.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Исключение переданного муниципального имущества из реестра муниципального имущества осуществляется: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объектов недвижимого имущества - на основании свидетельств о государственной регистрации имущественных прав на объекты.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0228AA" w:rsidRDefault="00470459" w:rsidP="000228AA">
      <w:pPr>
        <w:shd w:val="clear" w:color="auto" w:fill="FFFFFF"/>
        <w:spacing w:after="0" w:line="240" w:lineRule="auto"/>
        <w:ind w:right="142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Переход права собственности и использование имущества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 соответствии с действующим гражданским законодательством право собственности на недвижимое имущество от </w:t>
      </w:r>
      <w:r w:rsidR="00F2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 к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государственной регистрации права собственности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имущество.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До проведения данной регистрации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право безвозмездно использовать это имущество со дня подписания актов приема-передачи для решения вопросов местного значения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отсутствуют документы, необходимые для осуществления государственной регистрации права собственности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не оформлены технические паспорта на объекты недвижимости, утеряны правоустанавливающие документы на 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переданное имущество и т.д.), в результате чего срок безвозмездного пользования будет превышать три месяца,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 договоры безвозмездного пользования этим имуществом на срок до проведения государственной регистрации права собственности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имущество.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Договоры безвозмездного пользования заключаются </w:t>
      </w:r>
      <w:r w:rsidR="0002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отдельно по каждой группе имущества (по отраслевому признаку: например, отдельно по жилищному фонду и т.д.).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договоре безвозмездного пользования устанавливается, что: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доходы, полученные от использования этого имущества, поступают в бюджет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(одновременно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право самостоятельно передавать имущество как в безвозмездное пользование, так и в аренду);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бремя содержания имущества;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риск случайной гибели или случайного повреждения имущества.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 безвозмездного пользования жилищным фондом должны учитывать специфику жилищного фонда и порядка его использования, определенную Жилищным кодексом Российской Федерации.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 соответствии с действующим гражданским законодательством право собственности на движимое имущество от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 к </w:t>
      </w:r>
      <w:r w:rsidR="00CA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</w:t>
      </w:r>
      <w:r w:rsidRPr="00D5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подписания актов приема-передачи.</w:t>
      </w:r>
    </w:p>
    <w:p w:rsidR="00470459" w:rsidRPr="00D5014B" w:rsidRDefault="00470459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775" w:rsidRDefault="001F7775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775" w:rsidRDefault="001F7775" w:rsidP="00D5014B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38C" w:rsidRPr="001F7775" w:rsidRDefault="0023038C" w:rsidP="001F7775">
      <w:pPr>
        <w:shd w:val="clear" w:color="auto" w:fill="FFFFFF"/>
        <w:spacing w:after="0" w:line="240" w:lineRule="auto"/>
        <w:ind w:righ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3038C" w:rsidRPr="001F7775" w:rsidSect="00470459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20A7"/>
    <w:multiLevelType w:val="hybridMultilevel"/>
    <w:tmpl w:val="EF182BC0"/>
    <w:lvl w:ilvl="0" w:tplc="82BAC10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A939B3"/>
    <w:multiLevelType w:val="hybridMultilevel"/>
    <w:tmpl w:val="5044AA40"/>
    <w:lvl w:ilvl="0" w:tplc="FDEE1A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41A58"/>
    <w:multiLevelType w:val="hybridMultilevel"/>
    <w:tmpl w:val="9176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ED59A8"/>
    <w:multiLevelType w:val="hybridMultilevel"/>
    <w:tmpl w:val="EF182BC0"/>
    <w:lvl w:ilvl="0" w:tplc="82BAC10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59"/>
    <w:rsid w:val="000228AA"/>
    <w:rsid w:val="001F7775"/>
    <w:rsid w:val="0023038C"/>
    <w:rsid w:val="00470459"/>
    <w:rsid w:val="00645AE4"/>
    <w:rsid w:val="006961B7"/>
    <w:rsid w:val="0085447A"/>
    <w:rsid w:val="008E00F5"/>
    <w:rsid w:val="009C3D07"/>
    <w:rsid w:val="00B06831"/>
    <w:rsid w:val="00CA40C4"/>
    <w:rsid w:val="00D5014B"/>
    <w:rsid w:val="00E872CE"/>
    <w:rsid w:val="00EA1340"/>
    <w:rsid w:val="00F221B7"/>
    <w:rsid w:val="00F2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3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A13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1340"/>
  </w:style>
  <w:style w:type="paragraph" w:styleId="a6">
    <w:name w:val="Balloon Text"/>
    <w:basedOn w:val="a"/>
    <w:link w:val="a7"/>
    <w:uiPriority w:val="99"/>
    <w:semiHidden/>
    <w:unhideWhenUsed/>
    <w:rsid w:val="0064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3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A13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1340"/>
  </w:style>
  <w:style w:type="paragraph" w:styleId="a6">
    <w:name w:val="Balloon Text"/>
    <w:basedOn w:val="a"/>
    <w:link w:val="a7"/>
    <w:uiPriority w:val="99"/>
    <w:semiHidden/>
    <w:unhideWhenUsed/>
    <w:rsid w:val="0064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744">
          <w:marLeft w:val="0"/>
          <w:marRight w:val="0"/>
          <w:marTop w:val="75"/>
          <w:marBottom w:val="225"/>
          <w:divBdr>
            <w:top w:val="single" w:sz="6" w:space="4" w:color="52B174"/>
            <w:left w:val="none" w:sz="0" w:space="4" w:color="auto"/>
            <w:bottom w:val="none" w:sz="0" w:space="4" w:color="auto"/>
            <w:right w:val="none" w:sz="0" w:space="4" w:color="auto"/>
          </w:divBdr>
        </w:div>
        <w:div w:id="13258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omi7.org/2006/05/29/k5667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mi7.org/2006/02/10/k5765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Глава СП</cp:lastModifiedBy>
  <cp:revision>13</cp:revision>
  <cp:lastPrinted>2017-03-23T09:46:00Z</cp:lastPrinted>
  <dcterms:created xsi:type="dcterms:W3CDTF">2017-02-15T14:28:00Z</dcterms:created>
  <dcterms:modified xsi:type="dcterms:W3CDTF">2017-03-23T09:47:00Z</dcterms:modified>
</cp:coreProperties>
</file>